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25A" w14:textId="7D863D61" w:rsidR="00C30E0E" w:rsidRDefault="008320C3" w:rsidP="00882A09">
      <w:pPr>
        <w:pStyle w:val="Title"/>
      </w:pPr>
      <w:r>
        <w:t>RCOT A</w:t>
      </w:r>
      <w:r w:rsidR="009B23A5">
        <w:t xml:space="preserve">PPROVED </w:t>
      </w:r>
      <w:r w:rsidR="00C5488B">
        <w:t xml:space="preserve">LEARNING </w:t>
      </w:r>
    </w:p>
    <w:p w14:paraId="5852F2D4" w14:textId="77777777" w:rsidR="00C30E0E" w:rsidRDefault="00C30E0E" w:rsidP="00882A09">
      <w:pPr>
        <w:pStyle w:val="Title"/>
      </w:pPr>
    </w:p>
    <w:p w14:paraId="0B73A301" w14:textId="092B0964" w:rsidR="00C30E0E" w:rsidRDefault="00C30E0E" w:rsidP="00C30E0E">
      <w:pPr>
        <w:rPr>
          <w:b/>
          <w:color w:val="003543" w:themeColor="text2"/>
          <w:sz w:val="28"/>
          <w:szCs w:val="28"/>
        </w:rPr>
      </w:pPr>
      <w:r w:rsidRPr="00C5488B">
        <w:rPr>
          <w:b/>
          <w:color w:val="003543" w:themeColor="text2"/>
          <w:sz w:val="28"/>
          <w:szCs w:val="28"/>
        </w:rPr>
        <w:t>WHAT IS IT?</w:t>
      </w:r>
    </w:p>
    <w:p w14:paraId="5313FAA6" w14:textId="77777777" w:rsidR="005E5509" w:rsidRPr="00C5488B" w:rsidRDefault="005E5509" w:rsidP="00C30E0E">
      <w:pPr>
        <w:rPr>
          <w:b/>
          <w:color w:val="003543" w:themeColor="text2"/>
          <w:sz w:val="28"/>
          <w:szCs w:val="28"/>
        </w:rPr>
      </w:pPr>
    </w:p>
    <w:p w14:paraId="6E410F6A" w14:textId="52C076DF" w:rsidR="00C30E0E" w:rsidRDefault="00C30E0E" w:rsidP="00C30E0E">
      <w:pPr>
        <w:ind w:left="360"/>
        <w:jc w:val="both"/>
        <w:rPr>
          <w:color w:val="000000" w:themeColor="text1"/>
        </w:rPr>
      </w:pPr>
      <w:r w:rsidRPr="00C5488B">
        <w:rPr>
          <w:color w:val="000000" w:themeColor="text1"/>
        </w:rPr>
        <w:t>RCOT Approved Learning is an award offering quality assurance to educational resources designed for occupational therapy personnel and other healthcare professionals. Providers must show their resources meet standards on the following topics:</w:t>
      </w:r>
    </w:p>
    <w:p w14:paraId="3C9D3C1A" w14:textId="77777777" w:rsidR="001F48E2" w:rsidRPr="00C5488B" w:rsidRDefault="001F48E2" w:rsidP="00C30E0E">
      <w:pPr>
        <w:ind w:left="360"/>
        <w:jc w:val="both"/>
        <w:rPr>
          <w:color w:val="000000" w:themeColor="text1"/>
        </w:rPr>
      </w:pPr>
    </w:p>
    <w:p w14:paraId="50F93C3C"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Content</w:t>
      </w:r>
    </w:p>
    <w:p w14:paraId="0488A4D7"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Accessibility</w:t>
      </w:r>
    </w:p>
    <w:p w14:paraId="092873D2"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Participant engagement</w:t>
      </w:r>
    </w:p>
    <w:p w14:paraId="6FEFFD1A"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Assessment and reinforcement of learning</w:t>
      </w:r>
    </w:p>
    <w:p w14:paraId="64CDC907"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Relevance to occupational therapy</w:t>
      </w:r>
    </w:p>
    <w:p w14:paraId="45A5F1AD"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Learning outcomes</w:t>
      </w:r>
    </w:p>
    <w:p w14:paraId="0A35556A"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Course support and management</w:t>
      </w:r>
    </w:p>
    <w:p w14:paraId="3B1A75A3"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Course follow up</w:t>
      </w:r>
    </w:p>
    <w:p w14:paraId="011FB58D" w14:textId="77777777" w:rsidR="00C30E0E" w:rsidRPr="00C5488B" w:rsidRDefault="00C30E0E" w:rsidP="00C30E0E">
      <w:pPr>
        <w:pStyle w:val="ListParagraph"/>
        <w:numPr>
          <w:ilvl w:val="0"/>
          <w:numId w:val="31"/>
        </w:numPr>
        <w:ind w:left="1080"/>
        <w:jc w:val="both"/>
        <w:rPr>
          <w:rFonts w:ascii="Arial" w:hAnsi="Arial" w:cs="Arial"/>
          <w:color w:val="000000" w:themeColor="text1"/>
        </w:rPr>
      </w:pPr>
      <w:r w:rsidRPr="00C5488B">
        <w:rPr>
          <w:rFonts w:ascii="Arial" w:hAnsi="Arial" w:cs="Arial"/>
          <w:color w:val="000000" w:themeColor="text1"/>
        </w:rPr>
        <w:t>Quality monitoring and improvement</w:t>
      </w:r>
    </w:p>
    <w:p w14:paraId="388492B4" w14:textId="77777777" w:rsidR="00C30E0E" w:rsidRPr="00ED67EC" w:rsidRDefault="00C30E0E" w:rsidP="00C30E0E">
      <w:pPr>
        <w:pStyle w:val="ListParagraph"/>
        <w:rPr>
          <w:rFonts w:ascii="Arial" w:hAnsi="Arial" w:cs="Arial"/>
          <w:sz w:val="24"/>
          <w:szCs w:val="24"/>
        </w:rPr>
      </w:pPr>
    </w:p>
    <w:p w14:paraId="50FCCADF" w14:textId="40838A6C" w:rsidR="00C30E0E" w:rsidRDefault="00C30E0E" w:rsidP="00C30E0E">
      <w:pPr>
        <w:rPr>
          <w:b/>
          <w:color w:val="003543" w:themeColor="text2"/>
          <w:sz w:val="28"/>
          <w:szCs w:val="28"/>
        </w:rPr>
      </w:pPr>
      <w:r w:rsidRPr="00C5488B">
        <w:rPr>
          <w:b/>
          <w:color w:val="003543" w:themeColor="text2"/>
          <w:sz w:val="28"/>
          <w:szCs w:val="28"/>
        </w:rPr>
        <w:t>HOW DOES IT WORK?</w:t>
      </w:r>
    </w:p>
    <w:p w14:paraId="11621C17" w14:textId="77777777" w:rsidR="005E5509" w:rsidRPr="00C5488B" w:rsidRDefault="005E5509" w:rsidP="00C30E0E">
      <w:pPr>
        <w:rPr>
          <w:b/>
          <w:color w:val="003543" w:themeColor="text2"/>
          <w:sz w:val="28"/>
          <w:szCs w:val="28"/>
        </w:rPr>
      </w:pPr>
    </w:p>
    <w:p w14:paraId="0CFFBD42" w14:textId="7BDC6370" w:rsidR="00C30E0E" w:rsidRDefault="00C30E0E" w:rsidP="00C30E0E">
      <w:pPr>
        <w:ind w:left="720"/>
        <w:jc w:val="both"/>
      </w:pPr>
      <w:r w:rsidRPr="005E5509">
        <w:t xml:space="preserve">The College sends out the application and accompanying documents to two qualified Assessors. The outcome of the application is based on the Assessors’ reports but decided by the College.  </w:t>
      </w:r>
    </w:p>
    <w:p w14:paraId="50DFABA9" w14:textId="77777777" w:rsidR="005E5509" w:rsidRPr="005E5509" w:rsidRDefault="005E5509" w:rsidP="00C30E0E">
      <w:pPr>
        <w:ind w:left="720"/>
        <w:jc w:val="both"/>
      </w:pPr>
    </w:p>
    <w:p w14:paraId="4A0C4433" w14:textId="77777777" w:rsidR="00C30E0E" w:rsidRPr="005E5509" w:rsidRDefault="00C30E0E" w:rsidP="00C30E0E">
      <w:pPr>
        <w:ind w:left="720"/>
        <w:jc w:val="both"/>
      </w:pPr>
      <w:r w:rsidRPr="005E5509">
        <w:t>The time frame between application and award varies depending on the outcome of the assessment, but on average takes about two to three months. Once awarded, RCOT Approved Learning is valid for three years.</w:t>
      </w:r>
    </w:p>
    <w:p w14:paraId="53A12D58" w14:textId="77777777" w:rsidR="00C30E0E" w:rsidRPr="005E5509" w:rsidRDefault="00C30E0E" w:rsidP="00C30E0E">
      <w:pPr>
        <w:rPr>
          <w:color w:val="003543" w:themeColor="text2"/>
          <w:sz w:val="24"/>
          <w:szCs w:val="24"/>
        </w:rPr>
      </w:pPr>
    </w:p>
    <w:p w14:paraId="69557A7C" w14:textId="0185CF3F" w:rsidR="00C30E0E" w:rsidRDefault="00C30E0E" w:rsidP="00C30E0E">
      <w:pPr>
        <w:rPr>
          <w:b/>
          <w:color w:val="003543" w:themeColor="text2"/>
          <w:sz w:val="24"/>
          <w:szCs w:val="24"/>
        </w:rPr>
      </w:pPr>
      <w:r w:rsidRPr="005E5509">
        <w:rPr>
          <w:b/>
          <w:color w:val="003543" w:themeColor="text2"/>
          <w:sz w:val="24"/>
          <w:szCs w:val="24"/>
        </w:rPr>
        <w:t>WHAT IS THE COST?</w:t>
      </w:r>
    </w:p>
    <w:p w14:paraId="056C5DA9" w14:textId="77777777" w:rsidR="005E5509" w:rsidRPr="005E5509" w:rsidRDefault="005E5509" w:rsidP="00C30E0E">
      <w:pPr>
        <w:rPr>
          <w:b/>
          <w:color w:val="003543" w:themeColor="text2"/>
        </w:rPr>
      </w:pPr>
    </w:p>
    <w:p w14:paraId="0F48C802" w14:textId="77777777" w:rsidR="00C30E0E" w:rsidRPr="005E5509" w:rsidRDefault="00C30E0E" w:rsidP="00C30E0E">
      <w:pPr>
        <w:ind w:left="720"/>
      </w:pPr>
      <w:r w:rsidRPr="005E5509">
        <w:t xml:space="preserve">The fee for application is £1250 exclusive of VAT. </w:t>
      </w:r>
    </w:p>
    <w:p w14:paraId="762DA9D9" w14:textId="77777777" w:rsidR="00C30E0E" w:rsidRPr="00240192" w:rsidRDefault="00C30E0E" w:rsidP="00C30E0E">
      <w:pPr>
        <w:rPr>
          <w:sz w:val="24"/>
          <w:szCs w:val="24"/>
        </w:rPr>
      </w:pPr>
    </w:p>
    <w:p w14:paraId="50D9E1B7" w14:textId="2951D199" w:rsidR="00C30E0E" w:rsidRPr="005E5509" w:rsidRDefault="00C30E0E" w:rsidP="00C30E0E">
      <w:pPr>
        <w:rPr>
          <w:b/>
          <w:color w:val="003543" w:themeColor="text2"/>
          <w:sz w:val="28"/>
          <w:szCs w:val="28"/>
        </w:rPr>
      </w:pPr>
      <w:r w:rsidRPr="005E5509">
        <w:rPr>
          <w:b/>
          <w:color w:val="003543" w:themeColor="text2"/>
          <w:sz w:val="28"/>
          <w:szCs w:val="28"/>
        </w:rPr>
        <w:t>FURTHER INFORMATION:</w:t>
      </w:r>
    </w:p>
    <w:p w14:paraId="42E29835" w14:textId="77777777" w:rsidR="005E5509" w:rsidRPr="00520D25" w:rsidRDefault="005E5509" w:rsidP="00C30E0E">
      <w:pPr>
        <w:rPr>
          <w:b/>
          <w:color w:val="0070C0"/>
          <w:sz w:val="24"/>
          <w:szCs w:val="24"/>
        </w:rPr>
      </w:pPr>
    </w:p>
    <w:p w14:paraId="51B51B4C" w14:textId="77777777" w:rsidR="00C30E0E" w:rsidRPr="00520D25" w:rsidRDefault="00283E9D" w:rsidP="00C30E0E">
      <w:pPr>
        <w:rPr>
          <w:color w:val="0070C0"/>
          <w:sz w:val="24"/>
          <w:szCs w:val="24"/>
        </w:rPr>
      </w:pPr>
      <w:hyperlink r:id="rId11" w:history="1">
        <w:r w:rsidR="00C30E0E" w:rsidRPr="00520D25">
          <w:rPr>
            <w:rStyle w:val="Hyperlink"/>
            <w:color w:val="0070C0"/>
            <w:sz w:val="24"/>
            <w:szCs w:val="24"/>
          </w:rPr>
          <w:t>https://www.rcot.co.uk/rcot-approved-learning-continuing-professional-development</w:t>
        </w:r>
      </w:hyperlink>
    </w:p>
    <w:p w14:paraId="2BE50914" w14:textId="77777777" w:rsidR="00C30E0E" w:rsidRPr="00240192" w:rsidRDefault="00C30E0E" w:rsidP="00C30E0E">
      <w:pPr>
        <w:rPr>
          <w:sz w:val="24"/>
          <w:szCs w:val="24"/>
        </w:rPr>
      </w:pPr>
    </w:p>
    <w:p w14:paraId="0C9A0F46" w14:textId="77777777" w:rsidR="00C30E0E" w:rsidRPr="005E5509" w:rsidRDefault="00C30E0E" w:rsidP="00C30E0E">
      <w:pPr>
        <w:rPr>
          <w:b/>
          <w:color w:val="003543" w:themeColor="text2"/>
          <w:sz w:val="28"/>
          <w:szCs w:val="28"/>
        </w:rPr>
      </w:pPr>
      <w:r w:rsidRPr="005E5509">
        <w:rPr>
          <w:b/>
          <w:color w:val="003543" w:themeColor="text2"/>
          <w:sz w:val="28"/>
          <w:szCs w:val="28"/>
        </w:rPr>
        <w:t>CONTACT US:</w:t>
      </w:r>
    </w:p>
    <w:p w14:paraId="0D489D17" w14:textId="77777777" w:rsidR="00C30E0E" w:rsidRPr="005E5509" w:rsidRDefault="00C30E0E" w:rsidP="00C30E0E">
      <w:pPr>
        <w:rPr>
          <w:b/>
        </w:rPr>
      </w:pPr>
    </w:p>
    <w:p w14:paraId="35BF38B9" w14:textId="77777777" w:rsidR="00C30E0E" w:rsidRPr="005E5509" w:rsidRDefault="00C30E0E" w:rsidP="00C30E0E">
      <w:pPr>
        <w:ind w:left="720"/>
        <w:jc w:val="both"/>
      </w:pPr>
      <w:r w:rsidRPr="005E5509">
        <w:t xml:space="preserve">The RCOT Professional Development team is very happy to answer any questions about the award. </w:t>
      </w:r>
      <w:hyperlink r:id="rId12" w:history="1">
        <w:r w:rsidRPr="00ED4E5A">
          <w:rPr>
            <w:rStyle w:val="Hyperlink"/>
            <w:color w:val="0070C0"/>
          </w:rPr>
          <w:t>RCOTApprovedLearning@rcot.co.uk</w:t>
        </w:r>
      </w:hyperlink>
    </w:p>
    <w:p w14:paraId="03EFE1FC" w14:textId="77777777" w:rsidR="00C30E0E" w:rsidRPr="00240192" w:rsidRDefault="00C30E0E" w:rsidP="00C30E0E">
      <w:pPr>
        <w:rPr>
          <w:sz w:val="24"/>
          <w:szCs w:val="24"/>
        </w:rPr>
      </w:pPr>
    </w:p>
    <w:p w14:paraId="2D4D8387" w14:textId="3719154D" w:rsidR="003F03C6" w:rsidRDefault="008320C3" w:rsidP="00882A09">
      <w:pPr>
        <w:pStyle w:val="Title"/>
      </w:pPr>
      <w:r>
        <w:t xml:space="preserve"> </w:t>
      </w:r>
    </w:p>
    <w:sectPr w:rsidR="003F03C6" w:rsidSect="00A842D8">
      <w:headerReference w:type="default" r:id="rId13"/>
      <w:footerReference w:type="default" r:id="rId14"/>
      <w:headerReference w:type="first" r:id="rId15"/>
      <w:footerReference w:type="first" r:id="rId16"/>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8EBE" w14:textId="77777777" w:rsidR="00283E9D" w:rsidRDefault="00283E9D" w:rsidP="00896FCA">
      <w:r>
        <w:separator/>
      </w:r>
    </w:p>
  </w:endnote>
  <w:endnote w:type="continuationSeparator" w:id="0">
    <w:p w14:paraId="2F7FDBA7" w14:textId="77777777" w:rsidR="00283E9D" w:rsidRDefault="00283E9D"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EA8B" w14:textId="090D97A3"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1F48E2">
      <w:rPr>
        <w:noProof/>
        <w:lang w:val="en-GB"/>
      </w:rPr>
      <w:t>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951B" w14:textId="00812CEE"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1F48E2">
      <w:rPr>
        <w:noProof/>
        <w:lang w:val="en-GB"/>
      </w:rPr>
      <w:t>7 April 2022</w:t>
    </w:r>
    <w:r>
      <w:fldChar w:fldCharType="end"/>
    </w:r>
    <w:r w:rsidR="001A64D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2484" w14:textId="77777777" w:rsidR="00283E9D" w:rsidRDefault="00283E9D" w:rsidP="00896FCA">
      <w:r>
        <w:separator/>
      </w:r>
    </w:p>
  </w:footnote>
  <w:footnote w:type="continuationSeparator" w:id="0">
    <w:p w14:paraId="44E71F95" w14:textId="77777777" w:rsidR="00283E9D" w:rsidRDefault="00283E9D"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5FB7" w14:textId="77777777" w:rsidR="00896FCA" w:rsidRPr="00A5434C" w:rsidRDefault="0055163E" w:rsidP="00A5434C">
    <w:r w:rsidRPr="00A5434C">
      <w:rPr>
        <w:noProof/>
      </w:rPr>
      <w:drawing>
        <wp:anchor distT="0" distB="0" distL="114300" distR="114300" simplePos="0" relativeHeight="251681792" behindDoc="1" locked="0" layoutInCell="1" allowOverlap="1" wp14:anchorId="6302CFAB" wp14:editId="7DE5C4C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A75" w14:textId="77777777" w:rsidR="004967C1" w:rsidRPr="00A5434C" w:rsidRDefault="00702CF5" w:rsidP="00A5434C">
    <w:r w:rsidRPr="00A5434C">
      <w:rPr>
        <w:noProof/>
      </w:rPr>
      <w:drawing>
        <wp:anchor distT="0" distB="0" distL="114300" distR="114300" simplePos="0" relativeHeight="251682816" behindDoc="1" locked="0" layoutInCell="1" allowOverlap="1" wp14:anchorId="72BB41E9" wp14:editId="14DC814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293589"/>
    <w:multiLevelType w:val="hybridMultilevel"/>
    <w:tmpl w:val="AD1E0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40988475">
    <w:abstractNumId w:val="21"/>
  </w:num>
  <w:num w:numId="2" w16cid:durableId="883978953">
    <w:abstractNumId w:val="17"/>
  </w:num>
  <w:num w:numId="3" w16cid:durableId="2088067621">
    <w:abstractNumId w:val="0"/>
  </w:num>
  <w:num w:numId="4" w16cid:durableId="963849178">
    <w:abstractNumId w:val="1"/>
  </w:num>
  <w:num w:numId="5" w16cid:durableId="985399902">
    <w:abstractNumId w:val="2"/>
  </w:num>
  <w:num w:numId="6" w16cid:durableId="1206715045">
    <w:abstractNumId w:val="3"/>
  </w:num>
  <w:num w:numId="7" w16cid:durableId="1177159195">
    <w:abstractNumId w:val="15"/>
  </w:num>
  <w:num w:numId="8" w16cid:durableId="1074938122">
    <w:abstractNumId w:val="4"/>
  </w:num>
  <w:num w:numId="9" w16cid:durableId="988171859">
    <w:abstractNumId w:val="5"/>
  </w:num>
  <w:num w:numId="10" w16cid:durableId="1753813828">
    <w:abstractNumId w:val="6"/>
  </w:num>
  <w:num w:numId="11" w16cid:durableId="1078017736">
    <w:abstractNumId w:val="7"/>
  </w:num>
  <w:num w:numId="12" w16cid:durableId="2025282979">
    <w:abstractNumId w:val="9"/>
  </w:num>
  <w:num w:numId="13" w16cid:durableId="114100377">
    <w:abstractNumId w:val="18"/>
  </w:num>
  <w:num w:numId="14" w16cid:durableId="321011240">
    <w:abstractNumId w:val="19"/>
  </w:num>
  <w:num w:numId="15" w16cid:durableId="606039225">
    <w:abstractNumId w:val="29"/>
  </w:num>
  <w:num w:numId="16" w16cid:durableId="963196980">
    <w:abstractNumId w:val="22"/>
  </w:num>
  <w:num w:numId="17" w16cid:durableId="1139884683">
    <w:abstractNumId w:val="28"/>
  </w:num>
  <w:num w:numId="18" w16cid:durableId="290131875">
    <w:abstractNumId w:val="10"/>
  </w:num>
  <w:num w:numId="19" w16cid:durableId="16204914">
    <w:abstractNumId w:val="12"/>
  </w:num>
  <w:num w:numId="20" w16cid:durableId="2078279331">
    <w:abstractNumId w:val="26"/>
  </w:num>
  <w:num w:numId="21" w16cid:durableId="65537751">
    <w:abstractNumId w:val="13"/>
  </w:num>
  <w:num w:numId="22" w16cid:durableId="1629244726">
    <w:abstractNumId w:val="11"/>
  </w:num>
  <w:num w:numId="23" w16cid:durableId="1705056199">
    <w:abstractNumId w:val="23"/>
  </w:num>
  <w:num w:numId="24" w16cid:durableId="636839161">
    <w:abstractNumId w:val="14"/>
  </w:num>
  <w:num w:numId="25" w16cid:durableId="11270442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8209367">
    <w:abstractNumId w:val="24"/>
  </w:num>
  <w:num w:numId="27" w16cid:durableId="699551442">
    <w:abstractNumId w:val="20"/>
  </w:num>
  <w:num w:numId="28" w16cid:durableId="277445995">
    <w:abstractNumId w:val="27"/>
  </w:num>
  <w:num w:numId="29" w16cid:durableId="519664670">
    <w:abstractNumId w:val="16"/>
  </w:num>
  <w:num w:numId="30" w16cid:durableId="1784368">
    <w:abstractNumId w:val="8"/>
  </w:num>
  <w:num w:numId="31" w16cid:durableId="14408761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N+In1/Tb/sSl2x9kHSu+ODfG2bhAd2ARsI5d7CQdXUhcao9KadMSRLz00UTVYegjHCTKn8hWBdwLsHn0zUXlfg==" w:salt="WXkoiIW1/BKsZC5VwIB85A=="/>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C6"/>
    <w:rsid w:val="00013ECE"/>
    <w:rsid w:val="00014B49"/>
    <w:rsid w:val="000169EA"/>
    <w:rsid w:val="000169F0"/>
    <w:rsid w:val="00023A4D"/>
    <w:rsid w:val="00031E18"/>
    <w:rsid w:val="000840D4"/>
    <w:rsid w:val="000856C5"/>
    <w:rsid w:val="00086240"/>
    <w:rsid w:val="00086AD0"/>
    <w:rsid w:val="0009319B"/>
    <w:rsid w:val="00093F24"/>
    <w:rsid w:val="000B3274"/>
    <w:rsid w:val="000B3C7F"/>
    <w:rsid w:val="000B4473"/>
    <w:rsid w:val="000E78F4"/>
    <w:rsid w:val="00102CBB"/>
    <w:rsid w:val="0012415E"/>
    <w:rsid w:val="00157FDD"/>
    <w:rsid w:val="0019061D"/>
    <w:rsid w:val="001A64D0"/>
    <w:rsid w:val="001F1FFF"/>
    <w:rsid w:val="001F48E2"/>
    <w:rsid w:val="00204468"/>
    <w:rsid w:val="0022406A"/>
    <w:rsid w:val="002670F4"/>
    <w:rsid w:val="00267EC6"/>
    <w:rsid w:val="00283568"/>
    <w:rsid w:val="00283E9D"/>
    <w:rsid w:val="00290D30"/>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20D25"/>
    <w:rsid w:val="00544122"/>
    <w:rsid w:val="0055163E"/>
    <w:rsid w:val="00552C5D"/>
    <w:rsid w:val="0055650E"/>
    <w:rsid w:val="00596A62"/>
    <w:rsid w:val="005A5EAB"/>
    <w:rsid w:val="005C581E"/>
    <w:rsid w:val="005E5509"/>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816CB0"/>
    <w:rsid w:val="00816EE5"/>
    <w:rsid w:val="008320C3"/>
    <w:rsid w:val="00846A59"/>
    <w:rsid w:val="00857774"/>
    <w:rsid w:val="00873A93"/>
    <w:rsid w:val="00882A09"/>
    <w:rsid w:val="00887754"/>
    <w:rsid w:val="00896FCA"/>
    <w:rsid w:val="008A4D97"/>
    <w:rsid w:val="008C7A85"/>
    <w:rsid w:val="008E4F02"/>
    <w:rsid w:val="00901A3B"/>
    <w:rsid w:val="009026D3"/>
    <w:rsid w:val="00921C85"/>
    <w:rsid w:val="00932BAD"/>
    <w:rsid w:val="0094028C"/>
    <w:rsid w:val="00944CBC"/>
    <w:rsid w:val="00950799"/>
    <w:rsid w:val="00964608"/>
    <w:rsid w:val="0096703F"/>
    <w:rsid w:val="00974167"/>
    <w:rsid w:val="00996D47"/>
    <w:rsid w:val="009A27A1"/>
    <w:rsid w:val="009B23A5"/>
    <w:rsid w:val="009B52E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26CC3"/>
    <w:rsid w:val="00C30E0E"/>
    <w:rsid w:val="00C33A73"/>
    <w:rsid w:val="00C43494"/>
    <w:rsid w:val="00C52E34"/>
    <w:rsid w:val="00C5488B"/>
    <w:rsid w:val="00C63E42"/>
    <w:rsid w:val="00C92A10"/>
    <w:rsid w:val="00C97589"/>
    <w:rsid w:val="00CB031F"/>
    <w:rsid w:val="00CB273F"/>
    <w:rsid w:val="00CB75CD"/>
    <w:rsid w:val="00CE3878"/>
    <w:rsid w:val="00D06A41"/>
    <w:rsid w:val="00D202B5"/>
    <w:rsid w:val="00D434FE"/>
    <w:rsid w:val="00D509C8"/>
    <w:rsid w:val="00D70D45"/>
    <w:rsid w:val="00D84930"/>
    <w:rsid w:val="00DA065C"/>
    <w:rsid w:val="00DA7CF6"/>
    <w:rsid w:val="00DD3157"/>
    <w:rsid w:val="00E13CD1"/>
    <w:rsid w:val="00E15A02"/>
    <w:rsid w:val="00E36544"/>
    <w:rsid w:val="00E3747D"/>
    <w:rsid w:val="00E42046"/>
    <w:rsid w:val="00E6570B"/>
    <w:rsid w:val="00E92DFB"/>
    <w:rsid w:val="00EA2B71"/>
    <w:rsid w:val="00EA5224"/>
    <w:rsid w:val="00EA66D9"/>
    <w:rsid w:val="00EA7981"/>
    <w:rsid w:val="00EC1995"/>
    <w:rsid w:val="00ED4E5A"/>
    <w:rsid w:val="00F23546"/>
    <w:rsid w:val="00F241F0"/>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E4BF"/>
  <w15:docId w15:val="{56E554ED-08D7-4915-A266-4D396DC1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C30E0E"/>
    <w:pPr>
      <w:widowControl/>
      <w:spacing w:after="200" w:line="276"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C30E0E"/>
    <w:rPr>
      <w:color w:val="00354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OTApprovedLearning@r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rcot-approved-learning-continuing-professional-develop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Downloads\RCOT%20Standard%20Word%20Document%20Template.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8" ma:contentTypeDescription="Create a new document." ma:contentTypeScope="" ma:versionID="bac8b362b9f7ce0d5d1b7965d94dfe63">
  <xsd:schema xmlns:xsd="http://www.w3.org/2001/XMLSchema" xmlns:xs="http://www.w3.org/2001/XMLSchema" xmlns:p="http://schemas.microsoft.com/office/2006/metadata/properties" xmlns:ns2="f8f2f95d-1bc4-46a6-84a8-a4a1402c05fa" targetNamespace="http://schemas.microsoft.com/office/2006/metadata/properties" ma:root="true" ma:fieldsID="da2e874180971249113298d3add0c13b"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89260-B668-4FB1-A019-262F979E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10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11</cp:revision>
  <cp:lastPrinted>2022-01-06T15:36:00Z</cp:lastPrinted>
  <dcterms:created xsi:type="dcterms:W3CDTF">2022-03-17T17:19:00Z</dcterms:created>
  <dcterms:modified xsi:type="dcterms:W3CDTF">2022-04-07T14:15:00Z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