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32F05" w14:textId="77777777" w:rsidR="00BB4AF3" w:rsidRDefault="000358D1" w:rsidP="00BB4AF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358D1">
        <w:rPr>
          <w:rFonts w:ascii="Arial" w:hAnsi="Arial" w:cs="Arial"/>
          <w:b/>
          <w:bCs/>
          <w:sz w:val="28"/>
          <w:szCs w:val="28"/>
        </w:rPr>
        <w:t xml:space="preserve">Virtual Networking Event </w:t>
      </w:r>
      <w:r w:rsidR="002A30DE" w:rsidRPr="000358D1">
        <w:rPr>
          <w:rFonts w:ascii="Arial" w:hAnsi="Arial" w:cs="Arial"/>
          <w:b/>
          <w:bCs/>
          <w:sz w:val="28"/>
          <w:szCs w:val="28"/>
        </w:rPr>
        <w:t>Themed Summary</w:t>
      </w:r>
      <w:bookmarkStart w:id="1" w:name="_Hlk59186650"/>
    </w:p>
    <w:p w14:paraId="3BCDF2E5" w14:textId="56625B3E" w:rsidR="00E8177E" w:rsidRDefault="00364044" w:rsidP="00BB4AF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358D1">
        <w:rPr>
          <w:rFonts w:ascii="Arial" w:hAnsi="Arial" w:cs="Arial"/>
          <w:b/>
          <w:bCs/>
          <w:sz w:val="28"/>
          <w:szCs w:val="28"/>
        </w:rPr>
        <w:t>Discharge to Assess: the role of occupational therapy</w:t>
      </w:r>
      <w:bookmarkEnd w:id="1"/>
    </w:p>
    <w:p w14:paraId="3A92B954" w14:textId="77777777" w:rsidR="00BB4AF3" w:rsidRPr="00C71744" w:rsidRDefault="00BB4AF3" w:rsidP="00BB4AF3">
      <w:pPr>
        <w:jc w:val="center"/>
        <w:rPr>
          <w:rFonts w:ascii="Arial" w:hAnsi="Arial" w:cs="Arial"/>
          <w:b/>
          <w:bCs/>
        </w:rPr>
      </w:pPr>
    </w:p>
    <w:p w14:paraId="05F7CC4E" w14:textId="36F34CB8" w:rsidR="00FC50EA" w:rsidRPr="00465889" w:rsidRDefault="00FC50EA" w:rsidP="00FC50EA">
      <w:pPr>
        <w:rPr>
          <w:rFonts w:ascii="Arial" w:hAnsi="Arial" w:cs="Arial"/>
        </w:rPr>
      </w:pPr>
      <w:r w:rsidRPr="00465889">
        <w:rPr>
          <w:rFonts w:ascii="Arial" w:hAnsi="Arial" w:cs="Arial"/>
        </w:rPr>
        <w:t xml:space="preserve">The following is a themed summary of the </w:t>
      </w:r>
      <w:r w:rsidR="007C175C" w:rsidRPr="00465889">
        <w:rPr>
          <w:rFonts w:ascii="Arial" w:hAnsi="Arial" w:cs="Arial"/>
        </w:rPr>
        <w:t>online</w:t>
      </w:r>
      <w:r w:rsidRPr="00465889">
        <w:rPr>
          <w:rFonts w:ascii="Arial" w:hAnsi="Arial" w:cs="Arial"/>
        </w:rPr>
        <w:t xml:space="preserve"> discussion </w:t>
      </w:r>
      <w:r w:rsidR="002B5304" w:rsidRPr="00465889">
        <w:rPr>
          <w:rFonts w:ascii="Arial" w:hAnsi="Arial" w:cs="Arial"/>
        </w:rPr>
        <w:t>between</w:t>
      </w:r>
      <w:r w:rsidRPr="00465889">
        <w:rPr>
          <w:rFonts w:ascii="Arial" w:hAnsi="Arial" w:cs="Arial"/>
        </w:rPr>
        <w:t xml:space="preserve"> attendees of the RCOT </w:t>
      </w:r>
      <w:r w:rsidR="00353AC2" w:rsidRPr="00353AC2">
        <w:rPr>
          <w:rFonts w:ascii="Arial" w:hAnsi="Arial" w:cs="Arial"/>
        </w:rPr>
        <w:t>Discharge to Assess: the role of occupational therapy</w:t>
      </w:r>
      <w:r w:rsidR="00353AC2">
        <w:rPr>
          <w:rFonts w:ascii="Arial" w:hAnsi="Arial" w:cs="Arial"/>
        </w:rPr>
        <w:t xml:space="preserve"> </w:t>
      </w:r>
      <w:r w:rsidR="007C31CC" w:rsidRPr="00465889">
        <w:rPr>
          <w:rFonts w:ascii="Arial" w:hAnsi="Arial" w:cs="Arial"/>
        </w:rPr>
        <w:t>virtual</w:t>
      </w:r>
      <w:r w:rsidRPr="00465889">
        <w:rPr>
          <w:rFonts w:ascii="Arial" w:hAnsi="Arial" w:cs="Arial"/>
        </w:rPr>
        <w:t xml:space="preserve"> </w:t>
      </w:r>
      <w:r w:rsidR="00353AC2">
        <w:rPr>
          <w:rFonts w:ascii="Arial" w:hAnsi="Arial" w:cs="Arial"/>
        </w:rPr>
        <w:t xml:space="preserve">networking </w:t>
      </w:r>
      <w:r w:rsidRPr="00465889">
        <w:rPr>
          <w:rFonts w:ascii="Arial" w:hAnsi="Arial" w:cs="Arial"/>
        </w:rPr>
        <w:t>event held on 8</w:t>
      </w:r>
      <w:r w:rsidRPr="00465889">
        <w:rPr>
          <w:rFonts w:ascii="Arial" w:hAnsi="Arial" w:cs="Arial"/>
          <w:vertAlign w:val="superscript"/>
        </w:rPr>
        <w:t>th</w:t>
      </w:r>
      <w:r w:rsidRPr="00465889">
        <w:rPr>
          <w:rFonts w:ascii="Arial" w:hAnsi="Arial" w:cs="Arial"/>
        </w:rPr>
        <w:t xml:space="preserve"> December 2020. The event was attended by over 260 RCOT members from across the UK, based in acute, community and social care settings.</w:t>
      </w:r>
    </w:p>
    <w:p w14:paraId="1A0BBE9E" w14:textId="78862A3C" w:rsidR="00492846" w:rsidRPr="00465889" w:rsidRDefault="00AB2364" w:rsidP="00FC50EA">
      <w:pPr>
        <w:rPr>
          <w:rFonts w:ascii="Arial" w:hAnsi="Arial" w:cs="Arial"/>
        </w:rPr>
      </w:pPr>
      <w:r w:rsidRPr="00465889">
        <w:rPr>
          <w:rFonts w:ascii="Arial" w:hAnsi="Arial" w:cs="Arial"/>
        </w:rPr>
        <w:t xml:space="preserve">The </w:t>
      </w:r>
      <w:r w:rsidR="004C19A0" w:rsidRPr="00465889">
        <w:rPr>
          <w:rFonts w:ascii="Arial" w:hAnsi="Arial" w:cs="Arial"/>
        </w:rPr>
        <w:t xml:space="preserve">points below </w:t>
      </w:r>
      <w:r w:rsidR="00CC38BE" w:rsidRPr="00465889">
        <w:rPr>
          <w:rFonts w:ascii="Arial" w:hAnsi="Arial" w:cs="Arial"/>
        </w:rPr>
        <w:t>summarise the written comments shared using the ‘chat’ function</w:t>
      </w:r>
      <w:r w:rsidR="00B73345" w:rsidRPr="00465889">
        <w:rPr>
          <w:rFonts w:ascii="Arial" w:hAnsi="Arial" w:cs="Arial"/>
        </w:rPr>
        <w:t>. These</w:t>
      </w:r>
      <w:r w:rsidR="007C1400" w:rsidRPr="00465889">
        <w:rPr>
          <w:rFonts w:ascii="Arial" w:hAnsi="Arial" w:cs="Arial"/>
        </w:rPr>
        <w:t xml:space="preserve"> reflect the opinions and experiences of </w:t>
      </w:r>
      <w:r w:rsidR="006B7106" w:rsidRPr="00465889">
        <w:rPr>
          <w:rFonts w:ascii="Arial" w:hAnsi="Arial" w:cs="Arial"/>
        </w:rPr>
        <w:t xml:space="preserve">individual participants and are not intended to represent a formal position from </w:t>
      </w:r>
      <w:r w:rsidR="003E22FB" w:rsidRPr="00465889">
        <w:rPr>
          <w:rFonts w:ascii="Arial" w:hAnsi="Arial" w:cs="Arial"/>
        </w:rPr>
        <w:t>RCOT</w:t>
      </w:r>
      <w:r w:rsidR="006B7106" w:rsidRPr="00465889">
        <w:rPr>
          <w:rFonts w:ascii="Arial" w:hAnsi="Arial" w:cs="Arial"/>
        </w:rPr>
        <w:t>.</w:t>
      </w:r>
      <w:r w:rsidR="00A677D0" w:rsidRPr="00465889">
        <w:rPr>
          <w:rFonts w:ascii="Arial" w:hAnsi="Arial" w:cs="Arial"/>
        </w:rPr>
        <w:t xml:space="preserve"> </w:t>
      </w:r>
      <w:r w:rsidR="00492846" w:rsidRPr="00465889">
        <w:rPr>
          <w:rFonts w:ascii="Arial" w:hAnsi="Arial" w:cs="Arial"/>
        </w:rPr>
        <w:t>An</w:t>
      </w:r>
      <w:r w:rsidR="00B96C4A" w:rsidRPr="00465889">
        <w:rPr>
          <w:rFonts w:ascii="Arial" w:hAnsi="Arial" w:cs="Arial"/>
        </w:rPr>
        <w:t xml:space="preserve"> RCOT</w:t>
      </w:r>
      <w:r w:rsidR="00A677D0" w:rsidRPr="00465889">
        <w:rPr>
          <w:rFonts w:ascii="Arial" w:hAnsi="Arial" w:cs="Arial"/>
        </w:rPr>
        <w:t xml:space="preserve"> Informed View on the</w:t>
      </w:r>
      <w:r w:rsidR="00492846" w:rsidRPr="00465889">
        <w:rPr>
          <w:rFonts w:ascii="Arial" w:hAnsi="Arial" w:cs="Arial"/>
        </w:rPr>
        <w:t xml:space="preserve"> Hospital discharge service: Policy and operating model can be found </w:t>
      </w:r>
      <w:hyperlink r:id="rId8" w:history="1">
        <w:r w:rsidR="00465889" w:rsidRPr="00465889">
          <w:rPr>
            <w:rStyle w:val="Hyperlink"/>
            <w:rFonts w:ascii="Arial" w:hAnsi="Arial" w:cs="Arial"/>
          </w:rPr>
          <w:t>here</w:t>
        </w:r>
      </w:hyperlink>
      <w:r w:rsidR="00465889">
        <w:rPr>
          <w:rFonts w:ascii="Arial" w:hAnsi="Arial" w:cs="Arial"/>
        </w:rPr>
        <w:t>.</w:t>
      </w:r>
    </w:p>
    <w:p w14:paraId="062D5FBA" w14:textId="534CEE63" w:rsidR="001B6455" w:rsidRPr="00465889" w:rsidRDefault="00DD0F90" w:rsidP="00FC50EA">
      <w:pPr>
        <w:rPr>
          <w:rFonts w:ascii="Arial" w:hAnsi="Arial" w:cs="Arial"/>
        </w:rPr>
      </w:pPr>
      <w:r w:rsidRPr="00465889">
        <w:rPr>
          <w:rFonts w:ascii="Arial" w:hAnsi="Arial" w:cs="Arial"/>
        </w:rPr>
        <w:t>D</w:t>
      </w:r>
      <w:r w:rsidR="00CF6D81" w:rsidRPr="00465889">
        <w:rPr>
          <w:rFonts w:ascii="Arial" w:hAnsi="Arial" w:cs="Arial"/>
        </w:rPr>
        <w:t>uring the event</w:t>
      </w:r>
      <w:r w:rsidR="001B6455" w:rsidRPr="00465889">
        <w:rPr>
          <w:rFonts w:ascii="Arial" w:hAnsi="Arial" w:cs="Arial"/>
        </w:rPr>
        <w:t xml:space="preserve"> participants sha</w:t>
      </w:r>
      <w:r w:rsidR="00977819" w:rsidRPr="00465889">
        <w:rPr>
          <w:rFonts w:ascii="Arial" w:hAnsi="Arial" w:cs="Arial"/>
        </w:rPr>
        <w:t xml:space="preserve">red </w:t>
      </w:r>
      <w:r w:rsidR="00644500" w:rsidRPr="00465889">
        <w:rPr>
          <w:rFonts w:ascii="Arial" w:hAnsi="Arial" w:cs="Arial"/>
        </w:rPr>
        <w:t xml:space="preserve">good practice and positive outcomes arising from </w:t>
      </w:r>
      <w:r w:rsidR="00F46700" w:rsidRPr="00465889">
        <w:rPr>
          <w:rFonts w:ascii="Arial" w:hAnsi="Arial" w:cs="Arial"/>
        </w:rPr>
        <w:t xml:space="preserve">implementation of D2A processes, as well as identifying approaches to </w:t>
      </w:r>
      <w:r w:rsidR="00DF0C53" w:rsidRPr="00465889">
        <w:rPr>
          <w:rFonts w:ascii="Arial" w:hAnsi="Arial" w:cs="Arial"/>
        </w:rPr>
        <w:t>overcoming challenges at a local level.</w:t>
      </w:r>
    </w:p>
    <w:p w14:paraId="1EF25577" w14:textId="36DD9190" w:rsidR="00327E74" w:rsidRPr="00465889" w:rsidRDefault="00327E74" w:rsidP="00FC50EA">
      <w:pPr>
        <w:rPr>
          <w:rFonts w:ascii="Arial" w:hAnsi="Arial" w:cs="Arial"/>
        </w:rPr>
      </w:pPr>
      <w:r w:rsidRPr="00465889">
        <w:rPr>
          <w:rFonts w:ascii="Arial" w:hAnsi="Arial" w:cs="Arial"/>
        </w:rPr>
        <w:t xml:space="preserve">RCOT are keen to hear </w:t>
      </w:r>
      <w:r w:rsidR="00404AA8" w:rsidRPr="00465889">
        <w:rPr>
          <w:rFonts w:ascii="Arial" w:hAnsi="Arial" w:cs="Arial"/>
        </w:rPr>
        <w:t xml:space="preserve">about examples of innovative and successful D2A practice that </w:t>
      </w:r>
      <w:r w:rsidR="00E34A0E" w:rsidRPr="00465889">
        <w:rPr>
          <w:rFonts w:ascii="Arial" w:hAnsi="Arial" w:cs="Arial"/>
        </w:rPr>
        <w:t>members would be willing to share to aid other occupational therap</w:t>
      </w:r>
      <w:r w:rsidR="00081922" w:rsidRPr="00465889">
        <w:rPr>
          <w:rFonts w:ascii="Arial" w:hAnsi="Arial" w:cs="Arial"/>
        </w:rPr>
        <w:t xml:space="preserve">y teams in their implementation of D2A principles. Please share your </w:t>
      </w:r>
      <w:r w:rsidR="00C855B3" w:rsidRPr="00465889">
        <w:rPr>
          <w:rFonts w:ascii="Arial" w:hAnsi="Arial" w:cs="Arial"/>
        </w:rPr>
        <w:t xml:space="preserve">experiences with Lauren Walker, Professional Adviser at </w:t>
      </w:r>
      <w:hyperlink r:id="rId9" w:history="1">
        <w:r w:rsidR="00C855B3" w:rsidRPr="00465889">
          <w:rPr>
            <w:rStyle w:val="Hyperlink"/>
            <w:rFonts w:ascii="Arial" w:hAnsi="Arial" w:cs="Arial"/>
          </w:rPr>
          <w:t>lauren.walker@rcot.co.uk</w:t>
        </w:r>
      </w:hyperlink>
    </w:p>
    <w:p w14:paraId="65496EE6" w14:textId="77777777" w:rsidR="00C855B3" w:rsidRPr="00465889" w:rsidRDefault="00C855B3" w:rsidP="00BF0CC0">
      <w:pPr>
        <w:spacing w:after="0"/>
        <w:rPr>
          <w:rFonts w:ascii="Arial" w:hAnsi="Arial" w:cs="Arial"/>
        </w:rPr>
      </w:pPr>
    </w:p>
    <w:p w14:paraId="220F4EE4" w14:textId="11AEAB76" w:rsidR="006158CC" w:rsidRPr="00465889" w:rsidRDefault="00C855B3" w:rsidP="003A2666">
      <w:pPr>
        <w:rPr>
          <w:rFonts w:ascii="Arial" w:hAnsi="Arial" w:cs="Arial"/>
          <w:b/>
          <w:bCs/>
        </w:rPr>
      </w:pPr>
      <w:r w:rsidRPr="00465889">
        <w:rPr>
          <w:rFonts w:ascii="Arial" w:hAnsi="Arial" w:cs="Arial"/>
          <w:b/>
          <w:bCs/>
        </w:rPr>
        <w:t>K</w:t>
      </w:r>
      <w:r w:rsidR="00CD06FF" w:rsidRPr="00465889">
        <w:rPr>
          <w:rFonts w:ascii="Arial" w:hAnsi="Arial" w:cs="Arial"/>
          <w:b/>
          <w:bCs/>
        </w:rPr>
        <w:t>ey areas of discussion</w:t>
      </w:r>
    </w:p>
    <w:p w14:paraId="41A907A3" w14:textId="74F4913A" w:rsidR="006158CC" w:rsidRPr="00F84323" w:rsidRDefault="00793638" w:rsidP="003A2666">
      <w:pPr>
        <w:spacing w:after="0"/>
        <w:rPr>
          <w:rFonts w:ascii="Arial" w:hAnsi="Arial" w:cs="Arial"/>
        </w:rPr>
      </w:pPr>
      <w:r w:rsidRPr="00F84323">
        <w:rPr>
          <w:rFonts w:ascii="Arial" w:hAnsi="Arial" w:cs="Arial"/>
        </w:rPr>
        <w:t>Effective practice</w:t>
      </w:r>
      <w:r w:rsidR="00F84323">
        <w:rPr>
          <w:rFonts w:ascii="Arial" w:hAnsi="Arial" w:cs="Arial"/>
        </w:rPr>
        <w:t>:</w:t>
      </w:r>
    </w:p>
    <w:p w14:paraId="14D68C70" w14:textId="77777777" w:rsidR="00F67220" w:rsidRPr="00465889" w:rsidRDefault="00F67220" w:rsidP="003A26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65889">
        <w:rPr>
          <w:rFonts w:ascii="Arial" w:hAnsi="Arial" w:cs="Arial"/>
        </w:rPr>
        <w:t>Opportunities for occupational therapy leadership</w:t>
      </w:r>
    </w:p>
    <w:p w14:paraId="0E2B9DE1" w14:textId="36E606A2" w:rsidR="00FC50EA" w:rsidRPr="00465889" w:rsidRDefault="00AD2361" w:rsidP="003A26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65889">
        <w:rPr>
          <w:rFonts w:ascii="Arial" w:hAnsi="Arial" w:cs="Arial"/>
        </w:rPr>
        <w:t xml:space="preserve">Connecting </w:t>
      </w:r>
      <w:r w:rsidR="00942F61" w:rsidRPr="00465889">
        <w:rPr>
          <w:rFonts w:ascii="Arial" w:hAnsi="Arial" w:cs="Arial"/>
        </w:rPr>
        <w:t>acute and community</w:t>
      </w:r>
      <w:r w:rsidR="00C31B93" w:rsidRPr="00465889">
        <w:rPr>
          <w:rFonts w:ascii="Arial" w:hAnsi="Arial" w:cs="Arial"/>
        </w:rPr>
        <w:t xml:space="preserve"> occupational therapy</w:t>
      </w:r>
      <w:r w:rsidR="00942F61" w:rsidRPr="00465889">
        <w:rPr>
          <w:rFonts w:ascii="Arial" w:hAnsi="Arial" w:cs="Arial"/>
        </w:rPr>
        <w:t xml:space="preserve"> teams</w:t>
      </w:r>
    </w:p>
    <w:p w14:paraId="7E621DD1" w14:textId="451554E9" w:rsidR="00793638" w:rsidRPr="00465889" w:rsidRDefault="00F7068F" w:rsidP="003A26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65889">
        <w:rPr>
          <w:rFonts w:ascii="Arial" w:hAnsi="Arial" w:cs="Arial"/>
        </w:rPr>
        <w:t xml:space="preserve">Multi-disciplinary </w:t>
      </w:r>
      <w:r w:rsidR="00B8461D" w:rsidRPr="00465889">
        <w:rPr>
          <w:rFonts w:ascii="Arial" w:hAnsi="Arial" w:cs="Arial"/>
        </w:rPr>
        <w:t>working and professional development</w:t>
      </w:r>
    </w:p>
    <w:p w14:paraId="6BBA7C1E" w14:textId="77777777" w:rsidR="00F67220" w:rsidRPr="00465889" w:rsidRDefault="00F67220" w:rsidP="003A26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65889">
        <w:rPr>
          <w:rFonts w:ascii="Arial" w:hAnsi="Arial" w:cs="Arial"/>
        </w:rPr>
        <w:t>The role of the single-coordinator</w:t>
      </w:r>
    </w:p>
    <w:p w14:paraId="6C388A20" w14:textId="77777777" w:rsidR="00F67220" w:rsidRPr="00465889" w:rsidRDefault="00F67220" w:rsidP="003A26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65889">
        <w:rPr>
          <w:rFonts w:ascii="Arial" w:hAnsi="Arial" w:cs="Arial"/>
        </w:rPr>
        <w:t>Use of discharge hubs</w:t>
      </w:r>
    </w:p>
    <w:p w14:paraId="4CB6081D" w14:textId="059AF922" w:rsidR="00793638" w:rsidRPr="00465889" w:rsidRDefault="008873EE" w:rsidP="003A26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65889">
        <w:rPr>
          <w:rFonts w:ascii="Arial" w:hAnsi="Arial" w:cs="Arial"/>
        </w:rPr>
        <w:t>Assessments in the home</w:t>
      </w:r>
    </w:p>
    <w:p w14:paraId="25544D1E" w14:textId="0BC71352" w:rsidR="003B28CA" w:rsidRPr="00465889" w:rsidRDefault="003B28CA" w:rsidP="003A26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65889">
        <w:rPr>
          <w:rFonts w:ascii="Arial" w:hAnsi="Arial" w:cs="Arial"/>
        </w:rPr>
        <w:t>Team structures</w:t>
      </w:r>
    </w:p>
    <w:p w14:paraId="6F3CECBB" w14:textId="0F52A7C4" w:rsidR="00734FCC" w:rsidRPr="00465889" w:rsidRDefault="00734FCC" w:rsidP="003A26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65889">
        <w:rPr>
          <w:rFonts w:ascii="Arial" w:hAnsi="Arial" w:cs="Arial"/>
        </w:rPr>
        <w:t>Mental health</w:t>
      </w:r>
    </w:p>
    <w:p w14:paraId="2717883F" w14:textId="56D4DACE" w:rsidR="007D3AFB" w:rsidRPr="00465889" w:rsidRDefault="007D3AFB" w:rsidP="003A26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65889">
        <w:rPr>
          <w:rFonts w:ascii="Arial" w:hAnsi="Arial" w:cs="Arial"/>
        </w:rPr>
        <w:t>Positive outcomes</w:t>
      </w:r>
    </w:p>
    <w:p w14:paraId="7F608E5A" w14:textId="77777777" w:rsidR="003A2666" w:rsidRDefault="003A2666" w:rsidP="003A2666">
      <w:pPr>
        <w:spacing w:after="0"/>
        <w:rPr>
          <w:rFonts w:ascii="Arial" w:hAnsi="Arial" w:cs="Arial"/>
        </w:rPr>
      </w:pPr>
    </w:p>
    <w:p w14:paraId="44848BBF" w14:textId="55B79874" w:rsidR="00793638" w:rsidRPr="00F84323" w:rsidRDefault="00793638" w:rsidP="003A2666">
      <w:pPr>
        <w:spacing w:after="0"/>
        <w:rPr>
          <w:rFonts w:ascii="Arial" w:hAnsi="Arial" w:cs="Arial"/>
        </w:rPr>
      </w:pPr>
      <w:r w:rsidRPr="00F84323">
        <w:rPr>
          <w:rFonts w:ascii="Arial" w:hAnsi="Arial" w:cs="Arial"/>
        </w:rPr>
        <w:t>Overcoming system challenges</w:t>
      </w:r>
      <w:r w:rsidR="00F84323">
        <w:rPr>
          <w:rFonts w:ascii="Arial" w:hAnsi="Arial" w:cs="Arial"/>
        </w:rPr>
        <w:t>:</w:t>
      </w:r>
    </w:p>
    <w:p w14:paraId="2434C8A2" w14:textId="0EC55A92" w:rsidR="00674265" w:rsidRPr="00465889" w:rsidRDefault="00674265" w:rsidP="003A26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65889">
        <w:rPr>
          <w:rFonts w:ascii="Arial" w:hAnsi="Arial" w:cs="Arial"/>
        </w:rPr>
        <w:t>Strategic leadership</w:t>
      </w:r>
    </w:p>
    <w:p w14:paraId="46FB6271" w14:textId="5419B2BA" w:rsidR="001F36D9" w:rsidRPr="00465889" w:rsidRDefault="001F36D9" w:rsidP="003A26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65889">
        <w:rPr>
          <w:rFonts w:ascii="Arial" w:hAnsi="Arial" w:cs="Arial"/>
        </w:rPr>
        <w:t>Embracing risk</w:t>
      </w:r>
    </w:p>
    <w:p w14:paraId="62FA3D1D" w14:textId="5C69255A" w:rsidR="002E5A98" w:rsidRPr="00465889" w:rsidRDefault="00793638" w:rsidP="003A26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65889">
        <w:rPr>
          <w:rFonts w:ascii="Arial" w:hAnsi="Arial" w:cs="Arial"/>
        </w:rPr>
        <w:t>C</w:t>
      </w:r>
      <w:r w:rsidR="007A35BE" w:rsidRPr="00465889">
        <w:rPr>
          <w:rFonts w:ascii="Arial" w:hAnsi="Arial" w:cs="Arial"/>
        </w:rPr>
        <w:t>hanging cultures</w:t>
      </w:r>
    </w:p>
    <w:p w14:paraId="6CC79379" w14:textId="77777777" w:rsidR="00E1206D" w:rsidRPr="00465889" w:rsidRDefault="00E1206D" w:rsidP="00113968">
      <w:pPr>
        <w:rPr>
          <w:rFonts w:ascii="Arial" w:hAnsi="Arial" w:cs="Arial"/>
          <w:b/>
          <w:bCs/>
        </w:rPr>
      </w:pPr>
    </w:p>
    <w:p w14:paraId="566B7322" w14:textId="1B0A14AB" w:rsidR="00113968" w:rsidRPr="00465889" w:rsidRDefault="00113968" w:rsidP="00113968">
      <w:pPr>
        <w:rPr>
          <w:rFonts w:ascii="Arial" w:hAnsi="Arial" w:cs="Arial"/>
          <w:b/>
          <w:bCs/>
        </w:rPr>
      </w:pPr>
      <w:r w:rsidRPr="00465889">
        <w:rPr>
          <w:rFonts w:ascii="Arial" w:hAnsi="Arial" w:cs="Arial"/>
          <w:b/>
          <w:bCs/>
        </w:rPr>
        <w:t>Opportunities for occupational therapy leadership</w:t>
      </w:r>
    </w:p>
    <w:p w14:paraId="732CB0CC" w14:textId="6F6B9119" w:rsidR="00113968" w:rsidRPr="00465889" w:rsidRDefault="00113968" w:rsidP="001139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65889">
        <w:rPr>
          <w:rFonts w:ascii="Arial" w:hAnsi="Arial" w:cs="Arial"/>
        </w:rPr>
        <w:t>Those who have led on the development of D2A principles</w:t>
      </w:r>
      <w:r w:rsidR="008D7BBB">
        <w:rPr>
          <w:rFonts w:ascii="Arial" w:hAnsi="Arial" w:cs="Arial"/>
        </w:rPr>
        <w:t xml:space="preserve">, </w:t>
      </w:r>
      <w:r w:rsidRPr="00465889">
        <w:rPr>
          <w:rFonts w:ascii="Arial" w:hAnsi="Arial" w:cs="Arial"/>
        </w:rPr>
        <w:t>such as John Bolton</w:t>
      </w:r>
      <w:r w:rsidR="008D7BBB">
        <w:rPr>
          <w:rFonts w:ascii="Arial" w:hAnsi="Arial" w:cs="Arial"/>
        </w:rPr>
        <w:t>,</w:t>
      </w:r>
      <w:r w:rsidRPr="00465889">
        <w:rPr>
          <w:rFonts w:ascii="Arial" w:hAnsi="Arial" w:cs="Arial"/>
        </w:rPr>
        <w:t xml:space="preserve"> note that D2A works well when it is therapy led.</w:t>
      </w:r>
    </w:p>
    <w:p w14:paraId="14876CF6" w14:textId="1CA8F91E" w:rsidR="00113968" w:rsidRPr="00465889" w:rsidRDefault="00113968" w:rsidP="001139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65889">
        <w:rPr>
          <w:rFonts w:ascii="Arial" w:hAnsi="Arial" w:cs="Arial"/>
        </w:rPr>
        <w:t>There are opportunities for occupational therapists to lead at all levels</w:t>
      </w:r>
      <w:r w:rsidR="00C17DA7">
        <w:rPr>
          <w:rFonts w:ascii="Arial" w:hAnsi="Arial" w:cs="Arial"/>
        </w:rPr>
        <w:t xml:space="preserve">, </w:t>
      </w:r>
      <w:r w:rsidRPr="00465889">
        <w:rPr>
          <w:rFonts w:ascii="Arial" w:hAnsi="Arial" w:cs="Arial"/>
        </w:rPr>
        <w:t>for example</w:t>
      </w:r>
      <w:r w:rsidR="00C17DA7">
        <w:rPr>
          <w:rFonts w:ascii="Arial" w:hAnsi="Arial" w:cs="Arial"/>
        </w:rPr>
        <w:t>,</w:t>
      </w:r>
      <w:r w:rsidRPr="00465889">
        <w:rPr>
          <w:rFonts w:ascii="Arial" w:hAnsi="Arial" w:cs="Arial"/>
        </w:rPr>
        <w:t xml:space="preserve"> as Single-Coordinators across systems; leading discharge coordination in acute </w:t>
      </w:r>
      <w:r w:rsidRPr="00465889">
        <w:rPr>
          <w:rFonts w:ascii="Arial" w:hAnsi="Arial" w:cs="Arial"/>
        </w:rPr>
        <w:lastRenderedPageBreak/>
        <w:t>settings; developing workforce strategies within CCGs; managing reablement teams; supervising and upskilling un-registered colleagues.</w:t>
      </w:r>
    </w:p>
    <w:p w14:paraId="2A6BCDBE" w14:textId="3054E788" w:rsidR="00113968" w:rsidRPr="00465889" w:rsidRDefault="00113968" w:rsidP="001139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65889">
        <w:rPr>
          <w:rFonts w:ascii="Arial" w:hAnsi="Arial" w:cs="Arial"/>
        </w:rPr>
        <w:t xml:space="preserve">Therapists </w:t>
      </w:r>
      <w:r w:rsidR="00C17DA7" w:rsidRPr="00465889">
        <w:rPr>
          <w:rFonts w:ascii="Arial" w:hAnsi="Arial" w:cs="Arial"/>
        </w:rPr>
        <w:t>should not</w:t>
      </w:r>
      <w:r w:rsidRPr="00465889">
        <w:rPr>
          <w:rFonts w:ascii="Arial" w:hAnsi="Arial" w:cs="Arial"/>
        </w:rPr>
        <w:t xml:space="preserve"> wait to be invited to local discussions about the implementation of D2A, they should seek out opportunities to influence.</w:t>
      </w:r>
    </w:p>
    <w:p w14:paraId="04C0CA98" w14:textId="3BEB4BB3" w:rsidR="00113968" w:rsidRPr="00465889" w:rsidRDefault="00113968" w:rsidP="001139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65889">
        <w:rPr>
          <w:rFonts w:ascii="Arial" w:hAnsi="Arial" w:cs="Arial"/>
        </w:rPr>
        <w:t xml:space="preserve">Strategic leadership is also vital in ensuring that longer term rehabilitation needs are identified and addressed, integrating appropriate health, </w:t>
      </w:r>
      <w:r w:rsidR="00C17DA7" w:rsidRPr="00465889">
        <w:rPr>
          <w:rFonts w:ascii="Arial" w:hAnsi="Arial" w:cs="Arial"/>
        </w:rPr>
        <w:t>care,</w:t>
      </w:r>
      <w:r w:rsidRPr="00465889">
        <w:rPr>
          <w:rFonts w:ascii="Arial" w:hAnsi="Arial" w:cs="Arial"/>
        </w:rPr>
        <w:t xml:space="preserve"> and voluntary sector services. Occupational therapists have the skills and knowledge to lead this locally.</w:t>
      </w:r>
    </w:p>
    <w:p w14:paraId="1E46859D" w14:textId="77777777" w:rsidR="003A2666" w:rsidRDefault="003A2666" w:rsidP="003A2666">
      <w:pPr>
        <w:spacing w:after="0"/>
        <w:rPr>
          <w:rFonts w:ascii="Arial" w:hAnsi="Arial" w:cs="Arial"/>
          <w:b/>
          <w:bCs/>
        </w:rPr>
      </w:pPr>
    </w:p>
    <w:p w14:paraId="060789C1" w14:textId="36420855" w:rsidR="004B4531" w:rsidRPr="00465889" w:rsidRDefault="004B4531" w:rsidP="004B4531">
      <w:pPr>
        <w:rPr>
          <w:rFonts w:ascii="Arial" w:hAnsi="Arial" w:cs="Arial"/>
          <w:b/>
          <w:bCs/>
        </w:rPr>
      </w:pPr>
      <w:r w:rsidRPr="00465889">
        <w:rPr>
          <w:rFonts w:ascii="Arial" w:hAnsi="Arial" w:cs="Arial"/>
          <w:b/>
          <w:bCs/>
        </w:rPr>
        <w:t>Connecting acute and community occupational therapy teams</w:t>
      </w:r>
    </w:p>
    <w:p w14:paraId="6A3C66FC" w14:textId="77777777" w:rsidR="004B4531" w:rsidRPr="00465889" w:rsidRDefault="004B4531" w:rsidP="004B453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>In a number of areas there is ‘in-reach’ from community teams to acute settings. This is effective in allowing therapists to talk through cases, encourage positive risk taking and make appropriate, timely discharge decisions.</w:t>
      </w:r>
    </w:p>
    <w:p w14:paraId="2A47C264" w14:textId="77777777" w:rsidR="004B4531" w:rsidRPr="00465889" w:rsidRDefault="004B4531" w:rsidP="004B453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>Community teams may already know patients who have been admitted to wards and can provide information about people’s strengths and needs in their home environment.</w:t>
      </w:r>
    </w:p>
    <w:p w14:paraId="1DF93EF0" w14:textId="2647F19C" w:rsidR="004B4531" w:rsidRPr="00465889" w:rsidRDefault="004B4531" w:rsidP="004B453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>In some areas acute occupational therapists have been deployed to work with community teams. Acute therapists are also taking patients out to meet community occupational therapists – particularly critical care, neurological and complex orthopaedic patients.</w:t>
      </w:r>
    </w:p>
    <w:p w14:paraId="310CC3FE" w14:textId="295F17EA" w:rsidR="00F50B40" w:rsidRPr="00465889" w:rsidRDefault="00F50B40" w:rsidP="00F50B4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>One area has developed pictorial moving and handling guidance sheets as part of project work between acute and community teams, to share skills and expertise across settings.</w:t>
      </w:r>
    </w:p>
    <w:p w14:paraId="7DF03109" w14:textId="0C61460D" w:rsidR="004B4531" w:rsidRPr="00465889" w:rsidRDefault="004B4531" w:rsidP="004B453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>Thought needs to be given to where occupational therapy resource is best placed</w:t>
      </w:r>
      <w:r w:rsidR="00D839BC">
        <w:rPr>
          <w:rFonts w:ascii="Arial" w:hAnsi="Arial" w:cs="Arial"/>
        </w:rPr>
        <w:t xml:space="preserve">; </w:t>
      </w:r>
      <w:r w:rsidRPr="00465889">
        <w:rPr>
          <w:rFonts w:ascii="Arial" w:hAnsi="Arial" w:cs="Arial"/>
        </w:rPr>
        <w:t>there is a balance to be struck between acute and community.</w:t>
      </w:r>
    </w:p>
    <w:p w14:paraId="09AB30DE" w14:textId="77777777" w:rsidR="003A2666" w:rsidRDefault="003A2666" w:rsidP="003A2666">
      <w:pPr>
        <w:spacing w:after="0"/>
        <w:rPr>
          <w:rFonts w:ascii="Arial" w:hAnsi="Arial" w:cs="Arial"/>
          <w:b/>
          <w:bCs/>
        </w:rPr>
      </w:pPr>
    </w:p>
    <w:p w14:paraId="02961AC9" w14:textId="41A247D9" w:rsidR="004B4531" w:rsidRPr="00465889" w:rsidRDefault="004B4531" w:rsidP="004B4531">
      <w:pPr>
        <w:rPr>
          <w:rFonts w:ascii="Arial" w:hAnsi="Arial" w:cs="Arial"/>
          <w:b/>
          <w:bCs/>
        </w:rPr>
      </w:pPr>
      <w:r w:rsidRPr="00465889">
        <w:rPr>
          <w:rFonts w:ascii="Arial" w:hAnsi="Arial" w:cs="Arial"/>
          <w:b/>
          <w:bCs/>
        </w:rPr>
        <w:t xml:space="preserve">Multi-disciplinary </w:t>
      </w:r>
      <w:r w:rsidR="00B8461D" w:rsidRPr="00465889">
        <w:rPr>
          <w:rFonts w:ascii="Arial" w:hAnsi="Arial" w:cs="Arial"/>
          <w:b/>
          <w:bCs/>
        </w:rPr>
        <w:t>working and professional development</w:t>
      </w:r>
    </w:p>
    <w:p w14:paraId="538E55E1" w14:textId="77777777" w:rsidR="004B4531" w:rsidRPr="00465889" w:rsidRDefault="004B4531" w:rsidP="004B4531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>Having an appropriate skill mix within the workforce is vital. This includes qualified allied health professionals (AHPs) and nurses, as well as appropriately trained band 3 and band 4 staff.</w:t>
      </w:r>
    </w:p>
    <w:p w14:paraId="16816FCF" w14:textId="6041BEC4" w:rsidR="004B4531" w:rsidRPr="00465889" w:rsidRDefault="004B4531" w:rsidP="004B4531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>Upskilling band 3 and band 4 staff as trusted assessors</w:t>
      </w:r>
      <w:r w:rsidR="00D839BC">
        <w:rPr>
          <w:rFonts w:ascii="Arial" w:hAnsi="Arial" w:cs="Arial"/>
        </w:rPr>
        <w:t xml:space="preserve">, </w:t>
      </w:r>
      <w:r w:rsidRPr="00465889">
        <w:rPr>
          <w:rFonts w:ascii="Arial" w:hAnsi="Arial" w:cs="Arial"/>
        </w:rPr>
        <w:t>e.g. providing equipment and assistive technology, allows registered level staff to focus more on coordination and supporting individuals with complex and specialist needs.</w:t>
      </w:r>
    </w:p>
    <w:p w14:paraId="7EAB2539" w14:textId="65655A69" w:rsidR="004B4531" w:rsidRPr="00465889" w:rsidRDefault="004B4531" w:rsidP="004B4531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>D2A presents opportunities for un-registered staff to develop</w:t>
      </w:r>
      <w:r w:rsidR="00CE0260" w:rsidRPr="00465889">
        <w:rPr>
          <w:rFonts w:ascii="Arial" w:hAnsi="Arial" w:cs="Arial"/>
        </w:rPr>
        <w:t xml:space="preserve"> new</w:t>
      </w:r>
      <w:r w:rsidRPr="00465889">
        <w:rPr>
          <w:rFonts w:ascii="Arial" w:hAnsi="Arial" w:cs="Arial"/>
        </w:rPr>
        <w:t xml:space="preserve"> skills,</w:t>
      </w:r>
      <w:r w:rsidR="00CE0260" w:rsidRPr="00465889">
        <w:rPr>
          <w:rFonts w:ascii="Arial" w:hAnsi="Arial" w:cs="Arial"/>
        </w:rPr>
        <w:t xml:space="preserve"> and for registered staff to</w:t>
      </w:r>
      <w:r w:rsidRPr="00465889">
        <w:rPr>
          <w:rFonts w:ascii="Arial" w:hAnsi="Arial" w:cs="Arial"/>
        </w:rPr>
        <w:t xml:space="preserve"> work to the top of their license and move into areas of advanced practice.</w:t>
      </w:r>
    </w:p>
    <w:p w14:paraId="06BFF16C" w14:textId="77777777" w:rsidR="004B4531" w:rsidRPr="00465889" w:rsidRDefault="004B4531" w:rsidP="004B4531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>Blended roles across AHP and nursing can be effective in reducing clinical contacts and footfall in people’s homes, as well as offering an opportunity for professional development.</w:t>
      </w:r>
    </w:p>
    <w:p w14:paraId="2DEFEEFE" w14:textId="07F3A852" w:rsidR="004B4531" w:rsidRPr="00465889" w:rsidRDefault="004B4531" w:rsidP="004B4531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>Voluntary sector organisations are important partners, offering valuable community and social support.</w:t>
      </w:r>
    </w:p>
    <w:p w14:paraId="0AA64B8C" w14:textId="77777777" w:rsidR="003A2666" w:rsidRDefault="003A2666" w:rsidP="00674DAE">
      <w:pPr>
        <w:rPr>
          <w:rFonts w:ascii="Arial" w:hAnsi="Arial" w:cs="Arial"/>
          <w:b/>
          <w:bCs/>
        </w:rPr>
      </w:pPr>
    </w:p>
    <w:p w14:paraId="7049202A" w14:textId="64757F6C" w:rsidR="00674DAE" w:rsidRPr="00465889" w:rsidRDefault="001840D0" w:rsidP="003A2666">
      <w:pPr>
        <w:spacing w:after="0"/>
        <w:rPr>
          <w:rFonts w:ascii="Arial" w:hAnsi="Arial" w:cs="Arial"/>
          <w:b/>
          <w:bCs/>
        </w:rPr>
      </w:pPr>
      <w:r w:rsidRPr="00465889">
        <w:rPr>
          <w:rFonts w:ascii="Arial" w:hAnsi="Arial" w:cs="Arial"/>
          <w:b/>
          <w:bCs/>
        </w:rPr>
        <w:t>The role of the single-coordinator</w:t>
      </w:r>
    </w:p>
    <w:p w14:paraId="0151193E" w14:textId="68FB9ACE" w:rsidR="001840D0" w:rsidRPr="00465889" w:rsidRDefault="00F13E08" w:rsidP="001840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65889">
        <w:rPr>
          <w:rFonts w:ascii="Arial" w:hAnsi="Arial" w:cs="Arial"/>
        </w:rPr>
        <w:t>The</w:t>
      </w:r>
      <w:r w:rsidR="00A647A0" w:rsidRPr="00465889">
        <w:rPr>
          <w:rFonts w:ascii="Arial" w:hAnsi="Arial" w:cs="Arial"/>
        </w:rPr>
        <w:t xml:space="preserve"> single-coordinator role </w:t>
      </w:r>
      <w:r w:rsidR="00777163" w:rsidRPr="00465889">
        <w:rPr>
          <w:rFonts w:ascii="Arial" w:hAnsi="Arial" w:cs="Arial"/>
        </w:rPr>
        <w:t xml:space="preserve">is vital in facilitating </w:t>
      </w:r>
      <w:r w:rsidR="00397467" w:rsidRPr="00465889">
        <w:rPr>
          <w:rFonts w:ascii="Arial" w:hAnsi="Arial" w:cs="Arial"/>
        </w:rPr>
        <w:t xml:space="preserve">communication and consensus building with </w:t>
      </w:r>
      <w:r w:rsidR="00034D8F" w:rsidRPr="00465889">
        <w:rPr>
          <w:rFonts w:ascii="Arial" w:hAnsi="Arial" w:cs="Arial"/>
        </w:rPr>
        <w:t>the different organisations within a system</w:t>
      </w:r>
      <w:r w:rsidRPr="00465889">
        <w:rPr>
          <w:rFonts w:ascii="Arial" w:hAnsi="Arial" w:cs="Arial"/>
        </w:rPr>
        <w:t>.</w:t>
      </w:r>
    </w:p>
    <w:p w14:paraId="22C9E339" w14:textId="029B46B8" w:rsidR="00034D8F" w:rsidRPr="00465889" w:rsidRDefault="00034D8F" w:rsidP="001840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65889">
        <w:rPr>
          <w:rFonts w:ascii="Arial" w:hAnsi="Arial" w:cs="Arial"/>
        </w:rPr>
        <w:lastRenderedPageBreak/>
        <w:t xml:space="preserve">Where </w:t>
      </w:r>
      <w:r w:rsidR="00CA0535" w:rsidRPr="00465889">
        <w:rPr>
          <w:rFonts w:ascii="Arial" w:hAnsi="Arial" w:cs="Arial"/>
        </w:rPr>
        <w:t>an acute trust links with multiple systems</w:t>
      </w:r>
      <w:r w:rsidR="00555357" w:rsidRPr="00465889">
        <w:rPr>
          <w:rFonts w:ascii="Arial" w:hAnsi="Arial" w:cs="Arial"/>
        </w:rPr>
        <w:t xml:space="preserve"> there should be a lead local authority or CCG for the trust</w:t>
      </w:r>
      <w:r w:rsidR="00933334" w:rsidRPr="00465889">
        <w:rPr>
          <w:rFonts w:ascii="Arial" w:hAnsi="Arial" w:cs="Arial"/>
        </w:rPr>
        <w:t xml:space="preserve">. The co-ordinator for this system can then link in with </w:t>
      </w:r>
      <w:r w:rsidR="00B074CE" w:rsidRPr="00465889">
        <w:rPr>
          <w:rFonts w:ascii="Arial" w:hAnsi="Arial" w:cs="Arial"/>
        </w:rPr>
        <w:t xml:space="preserve">the coordinator(s) </w:t>
      </w:r>
      <w:r w:rsidR="00F13E08" w:rsidRPr="00465889">
        <w:rPr>
          <w:rFonts w:ascii="Arial" w:hAnsi="Arial" w:cs="Arial"/>
        </w:rPr>
        <w:t>from other systems that the trust works with</w:t>
      </w:r>
      <w:r w:rsidR="00FF2A89" w:rsidRPr="00465889">
        <w:rPr>
          <w:rFonts w:ascii="Arial" w:hAnsi="Arial" w:cs="Arial"/>
        </w:rPr>
        <w:t>.</w:t>
      </w:r>
    </w:p>
    <w:p w14:paraId="19F49FDE" w14:textId="6A5D1144" w:rsidR="00FF2A89" w:rsidRPr="00465889" w:rsidRDefault="00FF2A89" w:rsidP="001840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65889">
        <w:rPr>
          <w:rFonts w:ascii="Arial" w:hAnsi="Arial" w:cs="Arial"/>
        </w:rPr>
        <w:t xml:space="preserve">Currently, not all areas have a single-coordinator and this </w:t>
      </w:r>
      <w:r w:rsidR="00002C23" w:rsidRPr="00465889">
        <w:rPr>
          <w:rFonts w:ascii="Arial" w:hAnsi="Arial" w:cs="Arial"/>
        </w:rPr>
        <w:t xml:space="preserve">can be the </w:t>
      </w:r>
      <w:r w:rsidR="00A33A70" w:rsidRPr="00465889">
        <w:rPr>
          <w:rFonts w:ascii="Arial" w:hAnsi="Arial" w:cs="Arial"/>
        </w:rPr>
        <w:t>source of local challenges e.g. ineffective communication</w:t>
      </w:r>
      <w:r w:rsidR="00560A40" w:rsidRPr="00465889">
        <w:rPr>
          <w:rFonts w:ascii="Arial" w:hAnsi="Arial" w:cs="Arial"/>
        </w:rPr>
        <w:t xml:space="preserve"> and mismatched capacity</w:t>
      </w:r>
      <w:r w:rsidR="00A33A70" w:rsidRPr="00465889">
        <w:rPr>
          <w:rFonts w:ascii="Arial" w:hAnsi="Arial" w:cs="Arial"/>
        </w:rPr>
        <w:t>.</w:t>
      </w:r>
    </w:p>
    <w:p w14:paraId="4CB800EA" w14:textId="3DE38D22" w:rsidR="00D547EF" w:rsidRPr="00465889" w:rsidRDefault="0084424F" w:rsidP="001840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65889">
        <w:rPr>
          <w:rFonts w:ascii="Arial" w:hAnsi="Arial" w:cs="Arial"/>
        </w:rPr>
        <w:t xml:space="preserve">Occupational therapists are well suited to the role of single-coordinator, and </w:t>
      </w:r>
      <w:r w:rsidR="00785256" w:rsidRPr="00465889">
        <w:rPr>
          <w:rFonts w:ascii="Arial" w:hAnsi="Arial" w:cs="Arial"/>
        </w:rPr>
        <w:t>there are already a number of occupational therapists holding</w:t>
      </w:r>
      <w:r w:rsidR="00AE7627" w:rsidRPr="00465889">
        <w:rPr>
          <w:rFonts w:ascii="Arial" w:hAnsi="Arial" w:cs="Arial"/>
        </w:rPr>
        <w:t xml:space="preserve"> and applying for</w:t>
      </w:r>
      <w:r w:rsidR="00785256" w:rsidRPr="00465889">
        <w:rPr>
          <w:rFonts w:ascii="Arial" w:hAnsi="Arial" w:cs="Arial"/>
        </w:rPr>
        <w:t xml:space="preserve"> these positions.</w:t>
      </w:r>
    </w:p>
    <w:p w14:paraId="710CD7A9" w14:textId="77777777" w:rsidR="003A2666" w:rsidRDefault="003A2666" w:rsidP="003A2666">
      <w:pPr>
        <w:spacing w:after="0"/>
        <w:rPr>
          <w:rFonts w:ascii="Arial" w:hAnsi="Arial" w:cs="Arial"/>
          <w:b/>
          <w:bCs/>
        </w:rPr>
      </w:pPr>
    </w:p>
    <w:p w14:paraId="3B393E43" w14:textId="29A9C58F" w:rsidR="00562348" w:rsidRPr="00465889" w:rsidRDefault="00562348" w:rsidP="00562348">
      <w:pPr>
        <w:rPr>
          <w:rFonts w:ascii="Arial" w:hAnsi="Arial" w:cs="Arial"/>
          <w:b/>
          <w:bCs/>
        </w:rPr>
      </w:pPr>
      <w:r w:rsidRPr="00465889">
        <w:rPr>
          <w:rFonts w:ascii="Arial" w:hAnsi="Arial" w:cs="Arial"/>
          <w:b/>
          <w:bCs/>
        </w:rPr>
        <w:t>Use of discharge hubs</w:t>
      </w:r>
    </w:p>
    <w:p w14:paraId="3DA60549" w14:textId="46F74E1A" w:rsidR="00562348" w:rsidRPr="00465889" w:rsidRDefault="003B7511" w:rsidP="005623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65889">
        <w:rPr>
          <w:rFonts w:ascii="Arial" w:hAnsi="Arial" w:cs="Arial"/>
        </w:rPr>
        <w:t>Currently, not all areas have discharge hubs established</w:t>
      </w:r>
      <w:r w:rsidR="005F5BF1" w:rsidRPr="00465889">
        <w:rPr>
          <w:rFonts w:ascii="Arial" w:hAnsi="Arial" w:cs="Arial"/>
        </w:rPr>
        <w:t xml:space="preserve"> and this can create challenges locally</w:t>
      </w:r>
      <w:r w:rsidR="004460F7" w:rsidRPr="00465889">
        <w:rPr>
          <w:rFonts w:ascii="Arial" w:hAnsi="Arial" w:cs="Arial"/>
        </w:rPr>
        <w:t xml:space="preserve">. </w:t>
      </w:r>
    </w:p>
    <w:p w14:paraId="187C1DAE" w14:textId="23DDEF49" w:rsidR="004730D6" w:rsidRPr="00465889" w:rsidRDefault="004730D6" w:rsidP="005623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65889">
        <w:rPr>
          <w:rFonts w:ascii="Arial" w:hAnsi="Arial" w:cs="Arial"/>
        </w:rPr>
        <w:t>Discharge hubs that include representation from acute, community and local authority</w:t>
      </w:r>
      <w:r w:rsidR="002A4B63" w:rsidRPr="00465889">
        <w:rPr>
          <w:rFonts w:ascii="Arial" w:hAnsi="Arial" w:cs="Arial"/>
        </w:rPr>
        <w:t xml:space="preserve"> services are essential </w:t>
      </w:r>
      <w:r w:rsidR="00EF0F0A" w:rsidRPr="00465889">
        <w:rPr>
          <w:rFonts w:ascii="Arial" w:hAnsi="Arial" w:cs="Arial"/>
        </w:rPr>
        <w:t xml:space="preserve">to creating effective </w:t>
      </w:r>
      <w:r w:rsidR="00621313" w:rsidRPr="00465889">
        <w:rPr>
          <w:rFonts w:ascii="Arial" w:hAnsi="Arial" w:cs="Arial"/>
        </w:rPr>
        <w:t xml:space="preserve">circular </w:t>
      </w:r>
      <w:r w:rsidR="00EF0F0A" w:rsidRPr="00465889">
        <w:rPr>
          <w:rFonts w:ascii="Arial" w:hAnsi="Arial" w:cs="Arial"/>
        </w:rPr>
        <w:t>communication and feedback loops</w:t>
      </w:r>
      <w:r w:rsidR="00F9562D" w:rsidRPr="00465889">
        <w:rPr>
          <w:rFonts w:ascii="Arial" w:hAnsi="Arial" w:cs="Arial"/>
        </w:rPr>
        <w:t xml:space="preserve"> that allow pathways to work</w:t>
      </w:r>
      <w:r w:rsidR="00EF0F0A" w:rsidRPr="00465889">
        <w:rPr>
          <w:rFonts w:ascii="Arial" w:hAnsi="Arial" w:cs="Arial"/>
        </w:rPr>
        <w:t>.</w:t>
      </w:r>
    </w:p>
    <w:p w14:paraId="0B749E43" w14:textId="23F9466A" w:rsidR="003B6AE3" w:rsidRPr="00465889" w:rsidRDefault="009403D7" w:rsidP="005623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65889">
        <w:rPr>
          <w:rFonts w:ascii="Arial" w:hAnsi="Arial" w:cs="Arial"/>
        </w:rPr>
        <w:t xml:space="preserve">Many areas have occupational therapists </w:t>
      </w:r>
      <w:r w:rsidR="0029040A" w:rsidRPr="00465889">
        <w:rPr>
          <w:rFonts w:ascii="Arial" w:hAnsi="Arial" w:cs="Arial"/>
        </w:rPr>
        <w:t xml:space="preserve">contributing to </w:t>
      </w:r>
      <w:r w:rsidR="00FE7110" w:rsidRPr="00465889">
        <w:rPr>
          <w:rFonts w:ascii="Arial" w:hAnsi="Arial" w:cs="Arial"/>
        </w:rPr>
        <w:t>discharge hubs</w:t>
      </w:r>
      <w:r w:rsidR="00D969D5" w:rsidRPr="00465889">
        <w:rPr>
          <w:rFonts w:ascii="Arial" w:hAnsi="Arial" w:cs="Arial"/>
        </w:rPr>
        <w:t>, through daily calls with system partners</w:t>
      </w:r>
      <w:r w:rsidR="005A0A4F" w:rsidRPr="00465889">
        <w:rPr>
          <w:rFonts w:ascii="Arial" w:hAnsi="Arial" w:cs="Arial"/>
        </w:rPr>
        <w:t xml:space="preserve">, and it was noted that </w:t>
      </w:r>
      <w:r w:rsidR="00DD71ED" w:rsidRPr="00465889">
        <w:rPr>
          <w:rFonts w:ascii="Arial" w:hAnsi="Arial" w:cs="Arial"/>
        </w:rPr>
        <w:t>there should be a multi-disciplinary approach to discharge decisions.</w:t>
      </w:r>
    </w:p>
    <w:p w14:paraId="388F16D4" w14:textId="1558A786" w:rsidR="00FC12BE" w:rsidRPr="00465889" w:rsidRDefault="007C3759" w:rsidP="005623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65889">
        <w:rPr>
          <w:rFonts w:ascii="Arial" w:hAnsi="Arial" w:cs="Arial"/>
        </w:rPr>
        <w:t xml:space="preserve">Discharge decisions should be </w:t>
      </w:r>
      <w:r w:rsidR="00833F75" w:rsidRPr="00465889">
        <w:rPr>
          <w:rFonts w:ascii="Arial" w:hAnsi="Arial" w:cs="Arial"/>
        </w:rPr>
        <w:t>strengths-based</w:t>
      </w:r>
      <w:r w:rsidR="00406CBE">
        <w:rPr>
          <w:rFonts w:ascii="Arial" w:hAnsi="Arial" w:cs="Arial"/>
        </w:rPr>
        <w:t>,</w:t>
      </w:r>
      <w:r w:rsidR="00833F75" w:rsidRPr="00465889">
        <w:rPr>
          <w:rFonts w:ascii="Arial" w:hAnsi="Arial" w:cs="Arial"/>
        </w:rPr>
        <w:t xml:space="preserve"> not problem-focused</w:t>
      </w:r>
      <w:r w:rsidR="00803AC1" w:rsidRPr="00465889">
        <w:rPr>
          <w:rFonts w:ascii="Arial" w:hAnsi="Arial" w:cs="Arial"/>
        </w:rPr>
        <w:t>,</w:t>
      </w:r>
      <w:r w:rsidR="00FE18FC" w:rsidRPr="00465889">
        <w:rPr>
          <w:rFonts w:ascii="Arial" w:hAnsi="Arial" w:cs="Arial"/>
        </w:rPr>
        <w:t xml:space="preserve"> and some areas have developed person-centred assessment forms to </w:t>
      </w:r>
      <w:r w:rsidR="004A1A27" w:rsidRPr="00465889">
        <w:rPr>
          <w:rFonts w:ascii="Arial" w:hAnsi="Arial" w:cs="Arial"/>
        </w:rPr>
        <w:t>redefine the way that dis</w:t>
      </w:r>
      <w:r w:rsidR="004E13CC" w:rsidRPr="00465889">
        <w:rPr>
          <w:rFonts w:ascii="Arial" w:hAnsi="Arial" w:cs="Arial"/>
        </w:rPr>
        <w:t>ch</w:t>
      </w:r>
      <w:r w:rsidR="00B10B82" w:rsidRPr="00465889">
        <w:rPr>
          <w:rFonts w:ascii="Arial" w:hAnsi="Arial" w:cs="Arial"/>
        </w:rPr>
        <w:t>arge questions are asked.</w:t>
      </w:r>
    </w:p>
    <w:p w14:paraId="39B071B8" w14:textId="30824C1F" w:rsidR="00E44600" w:rsidRPr="00465889" w:rsidRDefault="00E44600" w:rsidP="005623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65889">
        <w:rPr>
          <w:rFonts w:ascii="Arial" w:hAnsi="Arial" w:cs="Arial"/>
        </w:rPr>
        <w:t>Discharge planning should start at the point of admission</w:t>
      </w:r>
      <w:r w:rsidR="003008CA" w:rsidRPr="00465889">
        <w:rPr>
          <w:rFonts w:ascii="Arial" w:hAnsi="Arial" w:cs="Arial"/>
        </w:rPr>
        <w:t xml:space="preserve">. Areas that have applied this approach have found that it helps prevent delays once </w:t>
      </w:r>
      <w:r w:rsidR="00CF5F6C" w:rsidRPr="00465889">
        <w:rPr>
          <w:rFonts w:ascii="Arial" w:hAnsi="Arial" w:cs="Arial"/>
        </w:rPr>
        <w:t>a person is medically optimised.</w:t>
      </w:r>
    </w:p>
    <w:p w14:paraId="0F93E907" w14:textId="77777777" w:rsidR="003A2666" w:rsidRDefault="003A2666" w:rsidP="003A2666">
      <w:pPr>
        <w:spacing w:after="0"/>
        <w:rPr>
          <w:rFonts w:ascii="Arial" w:hAnsi="Arial" w:cs="Arial"/>
          <w:b/>
          <w:bCs/>
        </w:rPr>
      </w:pPr>
    </w:p>
    <w:p w14:paraId="292EF724" w14:textId="5E0F649E" w:rsidR="007567BD" w:rsidRPr="00465889" w:rsidRDefault="007567BD" w:rsidP="007567BD">
      <w:pPr>
        <w:rPr>
          <w:rFonts w:ascii="Arial" w:hAnsi="Arial" w:cs="Arial"/>
          <w:b/>
          <w:bCs/>
        </w:rPr>
      </w:pPr>
      <w:r w:rsidRPr="00465889">
        <w:rPr>
          <w:rFonts w:ascii="Arial" w:hAnsi="Arial" w:cs="Arial"/>
          <w:b/>
          <w:bCs/>
        </w:rPr>
        <w:t>Assessments in the home</w:t>
      </w:r>
    </w:p>
    <w:p w14:paraId="50CA7047" w14:textId="59910339" w:rsidR="000A3BC1" w:rsidRPr="00465889" w:rsidRDefault="00022214" w:rsidP="007567B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 xml:space="preserve">Several areas </w:t>
      </w:r>
      <w:r w:rsidR="003E3545" w:rsidRPr="00465889">
        <w:rPr>
          <w:rFonts w:ascii="Arial" w:hAnsi="Arial" w:cs="Arial"/>
        </w:rPr>
        <w:t>reported that they are</w:t>
      </w:r>
      <w:r w:rsidR="00563D79" w:rsidRPr="00465889">
        <w:rPr>
          <w:rFonts w:ascii="Arial" w:hAnsi="Arial" w:cs="Arial"/>
        </w:rPr>
        <w:t xml:space="preserve"> successfully</w:t>
      </w:r>
      <w:r w:rsidR="003E3545" w:rsidRPr="00465889">
        <w:rPr>
          <w:rFonts w:ascii="Arial" w:hAnsi="Arial" w:cs="Arial"/>
        </w:rPr>
        <w:t xml:space="preserve"> </w:t>
      </w:r>
      <w:r w:rsidR="00700C4F" w:rsidRPr="00465889">
        <w:rPr>
          <w:rFonts w:ascii="Arial" w:hAnsi="Arial" w:cs="Arial"/>
        </w:rPr>
        <w:t>a</w:t>
      </w:r>
      <w:r w:rsidR="0097447C" w:rsidRPr="00465889">
        <w:rPr>
          <w:rFonts w:ascii="Arial" w:hAnsi="Arial" w:cs="Arial"/>
        </w:rPr>
        <w:t>chieving</w:t>
      </w:r>
      <w:r w:rsidR="00700C4F" w:rsidRPr="00465889">
        <w:rPr>
          <w:rFonts w:ascii="Arial" w:hAnsi="Arial" w:cs="Arial"/>
        </w:rPr>
        <w:t xml:space="preserve"> home assessments</w:t>
      </w:r>
      <w:r w:rsidR="00B24017" w:rsidRPr="00465889">
        <w:rPr>
          <w:rFonts w:ascii="Arial" w:hAnsi="Arial" w:cs="Arial"/>
        </w:rPr>
        <w:t xml:space="preserve"> within 24-48 hours</w:t>
      </w:r>
      <w:r w:rsidR="00563D79" w:rsidRPr="00465889">
        <w:rPr>
          <w:rFonts w:ascii="Arial" w:hAnsi="Arial" w:cs="Arial"/>
        </w:rPr>
        <w:t xml:space="preserve"> of discharge.</w:t>
      </w:r>
    </w:p>
    <w:p w14:paraId="06F91725" w14:textId="77777777" w:rsidR="000F0215" w:rsidRPr="00465889" w:rsidRDefault="0051737E" w:rsidP="007567B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>One area reported</w:t>
      </w:r>
      <w:r w:rsidR="000A3BC1" w:rsidRPr="00465889">
        <w:rPr>
          <w:rFonts w:ascii="Arial" w:hAnsi="Arial" w:cs="Arial"/>
        </w:rPr>
        <w:t xml:space="preserve"> meeting patients as they arrive home post-discharge and </w:t>
      </w:r>
      <w:r w:rsidR="003B20CA" w:rsidRPr="00465889">
        <w:rPr>
          <w:rFonts w:ascii="Arial" w:hAnsi="Arial" w:cs="Arial"/>
        </w:rPr>
        <w:t xml:space="preserve">another area’s </w:t>
      </w:r>
      <w:r w:rsidRPr="00465889">
        <w:rPr>
          <w:rFonts w:ascii="Arial" w:hAnsi="Arial" w:cs="Arial"/>
        </w:rPr>
        <w:t>intermediate care</w:t>
      </w:r>
      <w:r w:rsidR="003B20CA" w:rsidRPr="00465889">
        <w:rPr>
          <w:rFonts w:ascii="Arial" w:hAnsi="Arial" w:cs="Arial"/>
        </w:rPr>
        <w:t xml:space="preserve"> team are </w:t>
      </w:r>
      <w:r w:rsidR="001E46DA" w:rsidRPr="00465889">
        <w:rPr>
          <w:rFonts w:ascii="Arial" w:hAnsi="Arial" w:cs="Arial"/>
        </w:rPr>
        <w:t>visiting within 2 hours where needed.</w:t>
      </w:r>
    </w:p>
    <w:p w14:paraId="06309B90" w14:textId="5E54F3FD" w:rsidR="00E860F0" w:rsidRPr="00465889" w:rsidRDefault="003B58EF" w:rsidP="007567B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>Decisions about the urgency of home assessment should be personalised</w:t>
      </w:r>
      <w:r w:rsidR="00AA247B" w:rsidRPr="00465889">
        <w:rPr>
          <w:rFonts w:ascii="Arial" w:hAnsi="Arial" w:cs="Arial"/>
        </w:rPr>
        <w:t>, based on the needs of the person rather than a set of rigid rules.</w:t>
      </w:r>
    </w:p>
    <w:p w14:paraId="7C212246" w14:textId="5C0C6275" w:rsidR="00130A46" w:rsidRPr="00465889" w:rsidRDefault="00111BE9" w:rsidP="007567B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>Ward teams should talk to patients and their carers about what they feel will be needed, and how quickly.</w:t>
      </w:r>
    </w:p>
    <w:p w14:paraId="1509CAC2" w14:textId="3607988F" w:rsidR="009D6C11" w:rsidRPr="00465889" w:rsidRDefault="00E860F0" w:rsidP="007567B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>A</w:t>
      </w:r>
      <w:r w:rsidR="003E6BAA" w:rsidRPr="00465889">
        <w:rPr>
          <w:rFonts w:ascii="Arial" w:hAnsi="Arial" w:cs="Arial"/>
        </w:rPr>
        <w:t xml:space="preserve">s an example, a </w:t>
      </w:r>
      <w:r w:rsidR="005E5F2E" w:rsidRPr="00465889">
        <w:rPr>
          <w:rFonts w:ascii="Arial" w:hAnsi="Arial" w:cs="Arial"/>
        </w:rPr>
        <w:t xml:space="preserve">person living alone with no care may need a visit within two hours, whereas someone going home late in the day with </w:t>
      </w:r>
      <w:r w:rsidR="000532DA" w:rsidRPr="00465889">
        <w:rPr>
          <w:rFonts w:ascii="Arial" w:hAnsi="Arial" w:cs="Arial"/>
        </w:rPr>
        <w:t>a relative staying overnight may be better seen the following day – with their understanding and agreement.</w:t>
      </w:r>
      <w:r w:rsidR="0051737E" w:rsidRPr="00465889">
        <w:rPr>
          <w:rFonts w:ascii="Arial" w:hAnsi="Arial" w:cs="Arial"/>
        </w:rPr>
        <w:t xml:space="preserve"> </w:t>
      </w:r>
      <w:r w:rsidR="00B24017" w:rsidRPr="00465889">
        <w:rPr>
          <w:rFonts w:ascii="Arial" w:hAnsi="Arial" w:cs="Arial"/>
        </w:rPr>
        <w:t xml:space="preserve"> </w:t>
      </w:r>
    </w:p>
    <w:p w14:paraId="5C746869" w14:textId="4DD340BD" w:rsidR="009D2E12" w:rsidRPr="00465889" w:rsidRDefault="009D2E12" w:rsidP="007567B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 xml:space="preserve">One team </w:t>
      </w:r>
      <w:r w:rsidR="00405860" w:rsidRPr="00465889">
        <w:rPr>
          <w:rFonts w:ascii="Arial" w:hAnsi="Arial" w:cs="Arial"/>
        </w:rPr>
        <w:t>has found that some people need a day or two to settle back at home before starting an intervention.</w:t>
      </w:r>
    </w:p>
    <w:p w14:paraId="4D001D9F" w14:textId="77777777" w:rsidR="003A2666" w:rsidRDefault="003A2666" w:rsidP="003A2666">
      <w:pPr>
        <w:spacing w:after="0"/>
        <w:rPr>
          <w:rFonts w:ascii="Arial" w:hAnsi="Arial" w:cs="Arial"/>
          <w:b/>
          <w:bCs/>
        </w:rPr>
      </w:pPr>
    </w:p>
    <w:p w14:paraId="3C677FAE" w14:textId="6834CF43" w:rsidR="00405860" w:rsidRPr="00465889" w:rsidRDefault="00D36C26" w:rsidP="00C67E41">
      <w:pPr>
        <w:rPr>
          <w:rFonts w:ascii="Arial" w:hAnsi="Arial" w:cs="Arial"/>
          <w:b/>
          <w:bCs/>
        </w:rPr>
      </w:pPr>
      <w:r w:rsidRPr="00465889">
        <w:rPr>
          <w:rFonts w:ascii="Arial" w:hAnsi="Arial" w:cs="Arial"/>
          <w:b/>
          <w:bCs/>
        </w:rPr>
        <w:t>Team structures</w:t>
      </w:r>
    </w:p>
    <w:p w14:paraId="0E8C5C78" w14:textId="1190FF30" w:rsidR="00D36C26" w:rsidRPr="00465889" w:rsidRDefault="00D36C26" w:rsidP="00D36C2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65889">
        <w:rPr>
          <w:rFonts w:ascii="Arial" w:hAnsi="Arial" w:cs="Arial"/>
        </w:rPr>
        <w:t xml:space="preserve">There were different approaches to </w:t>
      </w:r>
      <w:r w:rsidR="004C2B55" w:rsidRPr="00465889">
        <w:rPr>
          <w:rFonts w:ascii="Arial" w:hAnsi="Arial" w:cs="Arial"/>
        </w:rPr>
        <w:t xml:space="preserve">operating D2A pathways with </w:t>
      </w:r>
      <w:r w:rsidR="00D550E9" w:rsidRPr="00465889">
        <w:rPr>
          <w:rFonts w:ascii="Arial" w:hAnsi="Arial" w:cs="Arial"/>
        </w:rPr>
        <w:t>most</w:t>
      </w:r>
      <w:r w:rsidR="004C2B55" w:rsidRPr="00465889">
        <w:rPr>
          <w:rFonts w:ascii="Arial" w:hAnsi="Arial" w:cs="Arial"/>
        </w:rPr>
        <w:t xml:space="preserve"> areas utilising ex</w:t>
      </w:r>
      <w:r w:rsidR="00B35211" w:rsidRPr="00465889">
        <w:rPr>
          <w:rFonts w:ascii="Arial" w:hAnsi="Arial" w:cs="Arial"/>
        </w:rPr>
        <w:t xml:space="preserve">isting intermediate care, </w:t>
      </w:r>
      <w:r w:rsidR="007D2333" w:rsidRPr="00465889">
        <w:rPr>
          <w:rFonts w:ascii="Arial" w:hAnsi="Arial" w:cs="Arial"/>
        </w:rPr>
        <w:t>reablement</w:t>
      </w:r>
      <w:r w:rsidR="00AF1F7E" w:rsidRPr="00465889">
        <w:rPr>
          <w:rFonts w:ascii="Arial" w:hAnsi="Arial" w:cs="Arial"/>
        </w:rPr>
        <w:t xml:space="preserve">, </w:t>
      </w:r>
      <w:r w:rsidR="007D2333" w:rsidRPr="00465889">
        <w:rPr>
          <w:rFonts w:ascii="Arial" w:hAnsi="Arial" w:cs="Arial"/>
        </w:rPr>
        <w:t>rapid response</w:t>
      </w:r>
      <w:r w:rsidR="00AF1F7E" w:rsidRPr="00465889">
        <w:rPr>
          <w:rFonts w:ascii="Arial" w:hAnsi="Arial" w:cs="Arial"/>
        </w:rPr>
        <w:t xml:space="preserve"> and community</w:t>
      </w:r>
      <w:r w:rsidR="007D2333" w:rsidRPr="00465889">
        <w:rPr>
          <w:rFonts w:ascii="Arial" w:hAnsi="Arial" w:cs="Arial"/>
        </w:rPr>
        <w:t xml:space="preserve"> teams</w:t>
      </w:r>
      <w:r w:rsidR="009E349C" w:rsidRPr="00465889">
        <w:rPr>
          <w:rFonts w:ascii="Arial" w:hAnsi="Arial" w:cs="Arial"/>
        </w:rPr>
        <w:t>, and others establishing specific D2A teams</w:t>
      </w:r>
      <w:r w:rsidR="005A6AC5" w:rsidRPr="00465889">
        <w:rPr>
          <w:rFonts w:ascii="Arial" w:hAnsi="Arial" w:cs="Arial"/>
        </w:rPr>
        <w:t xml:space="preserve"> utilising acute and community staff.</w:t>
      </w:r>
    </w:p>
    <w:p w14:paraId="6D2C6F9D" w14:textId="581A00F9" w:rsidR="005A6AC5" w:rsidRPr="00465889" w:rsidRDefault="005A6AC5" w:rsidP="00D36C2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65889">
        <w:rPr>
          <w:rFonts w:ascii="Arial" w:hAnsi="Arial" w:cs="Arial"/>
        </w:rPr>
        <w:lastRenderedPageBreak/>
        <w:t>It was noted that the recommendation from NHS England</w:t>
      </w:r>
      <w:r w:rsidR="00295E8F" w:rsidRPr="00465889">
        <w:rPr>
          <w:rFonts w:ascii="Arial" w:hAnsi="Arial" w:cs="Arial"/>
        </w:rPr>
        <w:t xml:space="preserve"> and Improvement is that D2A is not a new service, but a reorganisation of existing services</w:t>
      </w:r>
      <w:r w:rsidR="00C27871" w:rsidRPr="00465889">
        <w:rPr>
          <w:rFonts w:ascii="Arial" w:hAnsi="Arial" w:cs="Arial"/>
        </w:rPr>
        <w:t xml:space="preserve"> to ensure most effective use of the workforce</w:t>
      </w:r>
      <w:r w:rsidR="0044627D" w:rsidRPr="00465889">
        <w:rPr>
          <w:rFonts w:ascii="Arial" w:hAnsi="Arial" w:cs="Arial"/>
        </w:rPr>
        <w:t>.</w:t>
      </w:r>
    </w:p>
    <w:p w14:paraId="0D8316FD" w14:textId="77777777" w:rsidR="003A2666" w:rsidRDefault="003A2666" w:rsidP="00481CBD">
      <w:pPr>
        <w:spacing w:after="0"/>
        <w:rPr>
          <w:rFonts w:ascii="Arial" w:hAnsi="Arial" w:cs="Arial"/>
          <w:b/>
          <w:bCs/>
        </w:rPr>
      </w:pPr>
    </w:p>
    <w:p w14:paraId="78A44411" w14:textId="47D690F0" w:rsidR="00734FCC" w:rsidRPr="00465889" w:rsidRDefault="00734FCC" w:rsidP="003A2666">
      <w:pPr>
        <w:spacing w:after="0"/>
        <w:rPr>
          <w:rFonts w:ascii="Arial" w:hAnsi="Arial" w:cs="Arial"/>
          <w:b/>
          <w:bCs/>
        </w:rPr>
      </w:pPr>
      <w:r w:rsidRPr="00465889">
        <w:rPr>
          <w:rFonts w:ascii="Arial" w:hAnsi="Arial" w:cs="Arial"/>
          <w:b/>
          <w:bCs/>
        </w:rPr>
        <w:t>Mental health</w:t>
      </w:r>
    </w:p>
    <w:p w14:paraId="684208A9" w14:textId="4F38BA4B" w:rsidR="00734FCC" w:rsidRPr="00465889" w:rsidRDefault="00081DC9" w:rsidP="00AB415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 xml:space="preserve">It was noted that </w:t>
      </w:r>
      <w:r w:rsidR="004E4C78" w:rsidRPr="00465889">
        <w:rPr>
          <w:rFonts w:ascii="Arial" w:hAnsi="Arial" w:cs="Arial"/>
        </w:rPr>
        <w:t xml:space="preserve">the existing policy for D2A is </w:t>
      </w:r>
      <w:r w:rsidR="004C4DD3" w:rsidRPr="00465889">
        <w:rPr>
          <w:rFonts w:ascii="Arial" w:hAnsi="Arial" w:cs="Arial"/>
        </w:rPr>
        <w:t xml:space="preserve">very focused on physical health needs. The national NHSEI Mental Health team are developing </w:t>
      </w:r>
      <w:r w:rsidR="003462D7" w:rsidRPr="00465889">
        <w:rPr>
          <w:rFonts w:ascii="Arial" w:hAnsi="Arial" w:cs="Arial"/>
        </w:rPr>
        <w:t xml:space="preserve">a D2A approach </w:t>
      </w:r>
      <w:r w:rsidR="00E9747F" w:rsidRPr="00465889">
        <w:rPr>
          <w:rFonts w:ascii="Arial" w:hAnsi="Arial" w:cs="Arial"/>
        </w:rPr>
        <w:t xml:space="preserve">for </w:t>
      </w:r>
      <w:r w:rsidR="00DE7B7E" w:rsidRPr="00465889">
        <w:rPr>
          <w:rFonts w:ascii="Arial" w:hAnsi="Arial" w:cs="Arial"/>
        </w:rPr>
        <w:t xml:space="preserve">people </w:t>
      </w:r>
      <w:r w:rsidR="008A4DF2" w:rsidRPr="00465889">
        <w:rPr>
          <w:rFonts w:ascii="Arial" w:hAnsi="Arial" w:cs="Arial"/>
        </w:rPr>
        <w:t>with mental health needs.</w:t>
      </w:r>
    </w:p>
    <w:p w14:paraId="0C0B7E68" w14:textId="77777777" w:rsidR="00C91D80" w:rsidRPr="00465889" w:rsidRDefault="008A4DF2" w:rsidP="00AB415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 xml:space="preserve">One area is currently piloting a D2A approach </w:t>
      </w:r>
      <w:r w:rsidR="008309D1" w:rsidRPr="00465889">
        <w:rPr>
          <w:rFonts w:ascii="Arial" w:hAnsi="Arial" w:cs="Arial"/>
        </w:rPr>
        <w:t xml:space="preserve">to facilitate discharge of </w:t>
      </w:r>
      <w:r w:rsidR="00566B47" w:rsidRPr="00465889">
        <w:rPr>
          <w:rFonts w:ascii="Arial" w:hAnsi="Arial" w:cs="Arial"/>
        </w:rPr>
        <w:t>patients</w:t>
      </w:r>
      <w:r w:rsidR="008309D1" w:rsidRPr="00465889">
        <w:rPr>
          <w:rFonts w:ascii="Arial" w:hAnsi="Arial" w:cs="Arial"/>
        </w:rPr>
        <w:t xml:space="preserve"> from acute older </w:t>
      </w:r>
      <w:r w:rsidR="00752064" w:rsidRPr="00465889">
        <w:rPr>
          <w:rFonts w:ascii="Arial" w:hAnsi="Arial" w:cs="Arial"/>
        </w:rPr>
        <w:t xml:space="preserve">adult mental health wards. An occupational therapist </w:t>
      </w:r>
      <w:r w:rsidR="00566B47" w:rsidRPr="00465889">
        <w:rPr>
          <w:rFonts w:ascii="Arial" w:hAnsi="Arial" w:cs="Arial"/>
        </w:rPr>
        <w:t xml:space="preserve">will work with these individuals </w:t>
      </w:r>
      <w:r w:rsidR="00C02C68" w:rsidRPr="00465889">
        <w:rPr>
          <w:rFonts w:ascii="Arial" w:hAnsi="Arial" w:cs="Arial"/>
        </w:rPr>
        <w:t xml:space="preserve">for four weeks </w:t>
      </w:r>
      <w:r w:rsidR="00566B47" w:rsidRPr="00465889">
        <w:rPr>
          <w:rFonts w:ascii="Arial" w:hAnsi="Arial" w:cs="Arial"/>
        </w:rPr>
        <w:t>to resettle them</w:t>
      </w:r>
      <w:r w:rsidR="00C02C68" w:rsidRPr="00465889">
        <w:rPr>
          <w:rFonts w:ascii="Arial" w:hAnsi="Arial" w:cs="Arial"/>
        </w:rPr>
        <w:t xml:space="preserve"> and </w:t>
      </w:r>
      <w:r w:rsidR="009E2BD8" w:rsidRPr="00465889">
        <w:rPr>
          <w:rFonts w:ascii="Arial" w:hAnsi="Arial" w:cs="Arial"/>
        </w:rPr>
        <w:t>support their occupational needs in the community.</w:t>
      </w:r>
    </w:p>
    <w:p w14:paraId="3EDE3AD7" w14:textId="77777777" w:rsidR="003A2666" w:rsidRDefault="003A2666" w:rsidP="003A2666">
      <w:pPr>
        <w:spacing w:after="0"/>
        <w:rPr>
          <w:rFonts w:ascii="Arial" w:hAnsi="Arial" w:cs="Arial"/>
          <w:b/>
          <w:bCs/>
        </w:rPr>
      </w:pPr>
    </w:p>
    <w:p w14:paraId="2C12A226" w14:textId="5E5D5DA4" w:rsidR="00C91D80" w:rsidRPr="00465889" w:rsidRDefault="00C91D80" w:rsidP="00C91D80">
      <w:pPr>
        <w:rPr>
          <w:rFonts w:ascii="Arial" w:hAnsi="Arial" w:cs="Arial"/>
          <w:b/>
          <w:bCs/>
        </w:rPr>
      </w:pPr>
      <w:r w:rsidRPr="00465889">
        <w:rPr>
          <w:rFonts w:ascii="Arial" w:hAnsi="Arial" w:cs="Arial"/>
          <w:b/>
          <w:bCs/>
        </w:rPr>
        <w:t>Positive outcomes</w:t>
      </w:r>
    </w:p>
    <w:p w14:paraId="14E3FA21" w14:textId="36E268F7" w:rsidR="004835CA" w:rsidRPr="00465889" w:rsidRDefault="00161B3E" w:rsidP="00C91D80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>T</w:t>
      </w:r>
      <w:r w:rsidR="00E54603" w:rsidRPr="00465889">
        <w:rPr>
          <w:rFonts w:ascii="Arial" w:hAnsi="Arial" w:cs="Arial"/>
        </w:rPr>
        <w:t xml:space="preserve">here are </w:t>
      </w:r>
      <w:r w:rsidR="001734EF" w:rsidRPr="00465889">
        <w:rPr>
          <w:rFonts w:ascii="Arial" w:hAnsi="Arial" w:cs="Arial"/>
        </w:rPr>
        <w:t>multiple</w:t>
      </w:r>
      <w:r w:rsidR="00A928F8" w:rsidRPr="00465889">
        <w:rPr>
          <w:rFonts w:ascii="Arial" w:hAnsi="Arial" w:cs="Arial"/>
        </w:rPr>
        <w:t xml:space="preserve"> opportunities for occupational therapists to develop their roles and take up positions of leadership</w:t>
      </w:r>
      <w:r w:rsidR="004835CA" w:rsidRPr="00465889">
        <w:rPr>
          <w:rFonts w:ascii="Arial" w:hAnsi="Arial" w:cs="Arial"/>
        </w:rPr>
        <w:t xml:space="preserve"> as a result of D2A implementation.</w:t>
      </w:r>
    </w:p>
    <w:p w14:paraId="78E2E181" w14:textId="77777777" w:rsidR="009F15D0" w:rsidRPr="00465889" w:rsidRDefault="004835CA" w:rsidP="00C91D80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 xml:space="preserve">One area noted that </w:t>
      </w:r>
      <w:r w:rsidR="00144065" w:rsidRPr="00465889">
        <w:rPr>
          <w:rFonts w:ascii="Arial" w:hAnsi="Arial" w:cs="Arial"/>
        </w:rPr>
        <w:t xml:space="preserve">they are encountering fewer issues with the provision of equipment due to people being assessed in their </w:t>
      </w:r>
      <w:r w:rsidR="009F15D0" w:rsidRPr="00465889">
        <w:rPr>
          <w:rFonts w:ascii="Arial" w:hAnsi="Arial" w:cs="Arial"/>
        </w:rPr>
        <w:t>home environment.</w:t>
      </w:r>
    </w:p>
    <w:p w14:paraId="323B9C96" w14:textId="77777777" w:rsidR="00872CE3" w:rsidRPr="00465889" w:rsidRDefault="009F15D0" w:rsidP="00872CE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>Another area noted that implementing D2A has positively transformed their entire system</w:t>
      </w:r>
      <w:r w:rsidR="00D832E5" w:rsidRPr="00465889">
        <w:rPr>
          <w:rFonts w:ascii="Arial" w:hAnsi="Arial" w:cs="Arial"/>
        </w:rPr>
        <w:t>.</w:t>
      </w:r>
    </w:p>
    <w:p w14:paraId="4E4FB419" w14:textId="4430507B" w:rsidR="008A4DF2" w:rsidRPr="00465889" w:rsidRDefault="00306802" w:rsidP="00872CE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>Several areas are developing case studies that demonstrate the positive impact</w:t>
      </w:r>
      <w:r w:rsidR="004F1A4E" w:rsidRPr="00465889">
        <w:rPr>
          <w:rFonts w:ascii="Arial" w:hAnsi="Arial" w:cs="Arial"/>
        </w:rPr>
        <w:t xml:space="preserve"> of D2A on patients’ personal experiences of discharge.</w:t>
      </w:r>
      <w:r w:rsidR="00A928F8" w:rsidRPr="00465889">
        <w:rPr>
          <w:rFonts w:ascii="Arial" w:hAnsi="Arial" w:cs="Arial"/>
        </w:rPr>
        <w:t xml:space="preserve"> </w:t>
      </w:r>
    </w:p>
    <w:p w14:paraId="6D956BD2" w14:textId="77777777" w:rsidR="003A2666" w:rsidRDefault="003A2666" w:rsidP="003A2666">
      <w:pPr>
        <w:spacing w:after="0"/>
        <w:rPr>
          <w:rFonts w:ascii="Arial" w:hAnsi="Arial" w:cs="Arial"/>
          <w:b/>
          <w:bCs/>
        </w:rPr>
      </w:pPr>
    </w:p>
    <w:p w14:paraId="0C8C566E" w14:textId="4BCF5FA7" w:rsidR="001F36D9" w:rsidRPr="00465889" w:rsidRDefault="00892296" w:rsidP="001F36D9">
      <w:pPr>
        <w:rPr>
          <w:rFonts w:ascii="Arial" w:hAnsi="Arial" w:cs="Arial"/>
          <w:b/>
          <w:bCs/>
        </w:rPr>
      </w:pPr>
      <w:r w:rsidRPr="00465889">
        <w:rPr>
          <w:rFonts w:ascii="Arial" w:hAnsi="Arial" w:cs="Arial"/>
          <w:b/>
          <w:bCs/>
        </w:rPr>
        <w:t>Strategic leadership</w:t>
      </w:r>
    </w:p>
    <w:p w14:paraId="68152388" w14:textId="77777777" w:rsidR="008E326E" w:rsidRPr="00465889" w:rsidRDefault="000D3BCD" w:rsidP="005D28D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65889">
        <w:rPr>
          <w:rFonts w:ascii="Arial" w:hAnsi="Arial" w:cs="Arial"/>
        </w:rPr>
        <w:t>Mis</w:t>
      </w:r>
      <w:r w:rsidR="008E326E" w:rsidRPr="00465889">
        <w:rPr>
          <w:rFonts w:ascii="Arial" w:hAnsi="Arial" w:cs="Arial"/>
        </w:rPr>
        <w:t>interpretation</w:t>
      </w:r>
      <w:r w:rsidR="006A39E6" w:rsidRPr="00465889">
        <w:rPr>
          <w:rFonts w:ascii="Arial" w:hAnsi="Arial" w:cs="Arial"/>
        </w:rPr>
        <w:t xml:space="preserve"> </w:t>
      </w:r>
      <w:r w:rsidR="00AE5B7C" w:rsidRPr="00465889">
        <w:rPr>
          <w:rFonts w:ascii="Arial" w:hAnsi="Arial" w:cs="Arial"/>
        </w:rPr>
        <w:t>of D2A principles at a</w:t>
      </w:r>
      <w:r w:rsidR="00D35310" w:rsidRPr="00465889">
        <w:rPr>
          <w:rFonts w:ascii="Arial" w:hAnsi="Arial" w:cs="Arial"/>
        </w:rPr>
        <w:t xml:space="preserve"> strategic leadership level</w:t>
      </w:r>
      <w:r w:rsidR="002E6B0E" w:rsidRPr="00465889">
        <w:rPr>
          <w:rFonts w:ascii="Arial" w:hAnsi="Arial" w:cs="Arial"/>
        </w:rPr>
        <w:t xml:space="preserve"> (e.g. CCG and local authority)</w:t>
      </w:r>
      <w:r w:rsidR="00D35310" w:rsidRPr="00465889">
        <w:rPr>
          <w:rFonts w:ascii="Arial" w:hAnsi="Arial" w:cs="Arial"/>
        </w:rPr>
        <w:t xml:space="preserve"> </w:t>
      </w:r>
      <w:r w:rsidR="008E326E" w:rsidRPr="00465889">
        <w:rPr>
          <w:rFonts w:ascii="Arial" w:hAnsi="Arial" w:cs="Arial"/>
        </w:rPr>
        <w:t>can seriously hamper effective integration and implementation across the system.</w:t>
      </w:r>
    </w:p>
    <w:p w14:paraId="50E120EC" w14:textId="5FA29B84" w:rsidR="000C1308" w:rsidRPr="00465889" w:rsidRDefault="009560BE" w:rsidP="005D28D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65889">
        <w:rPr>
          <w:rFonts w:ascii="Arial" w:hAnsi="Arial" w:cs="Arial"/>
        </w:rPr>
        <w:t>Nurturing understanding and</w:t>
      </w:r>
      <w:r w:rsidR="00600AAE" w:rsidRPr="00465889">
        <w:rPr>
          <w:rFonts w:ascii="Arial" w:hAnsi="Arial" w:cs="Arial"/>
        </w:rPr>
        <w:t xml:space="preserve"> encouraging conversations is important. </w:t>
      </w:r>
      <w:r w:rsidR="003F191D" w:rsidRPr="00465889">
        <w:rPr>
          <w:rFonts w:ascii="Arial" w:hAnsi="Arial" w:cs="Arial"/>
        </w:rPr>
        <w:t xml:space="preserve">Creating supportive networks involving multiple agencies, involving more like-minded </w:t>
      </w:r>
      <w:r w:rsidR="00EB0331" w:rsidRPr="00465889">
        <w:rPr>
          <w:rFonts w:ascii="Arial" w:hAnsi="Arial" w:cs="Arial"/>
        </w:rPr>
        <w:t>people,</w:t>
      </w:r>
      <w:r w:rsidR="00941FFE" w:rsidRPr="00465889">
        <w:rPr>
          <w:rFonts w:ascii="Arial" w:hAnsi="Arial" w:cs="Arial"/>
        </w:rPr>
        <w:t xml:space="preserve"> and sharing resources can all help to shift mind-sets and support change.</w:t>
      </w:r>
    </w:p>
    <w:p w14:paraId="1AE7341A" w14:textId="77777777" w:rsidR="00486DED" w:rsidRPr="00465889" w:rsidRDefault="000C1308" w:rsidP="005D28D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65889">
        <w:rPr>
          <w:rFonts w:ascii="Arial" w:hAnsi="Arial" w:cs="Arial"/>
        </w:rPr>
        <w:t>D2A is working best in systems where senior leaders agree a strategic direction</w:t>
      </w:r>
      <w:r w:rsidR="00E25926" w:rsidRPr="00465889">
        <w:rPr>
          <w:rFonts w:ascii="Arial" w:hAnsi="Arial" w:cs="Arial"/>
        </w:rPr>
        <w:t xml:space="preserve"> and frontline staff are empowered to work together to find approaches and solutions that work locally.</w:t>
      </w:r>
    </w:p>
    <w:p w14:paraId="35D3795E" w14:textId="3290B757" w:rsidR="00F009DB" w:rsidRPr="00465889" w:rsidRDefault="000407C3" w:rsidP="005D28D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65889">
        <w:rPr>
          <w:rFonts w:ascii="Arial" w:hAnsi="Arial" w:cs="Arial"/>
        </w:rPr>
        <w:t xml:space="preserve">Quality improvement tools such as driver diagrams can be effective ways of establishing change needs within a </w:t>
      </w:r>
      <w:r w:rsidR="00E03260" w:rsidRPr="00465889">
        <w:rPr>
          <w:rFonts w:ascii="Arial" w:hAnsi="Arial" w:cs="Arial"/>
        </w:rPr>
        <w:t>system and</w:t>
      </w:r>
      <w:r w:rsidR="003D1C30" w:rsidRPr="00465889">
        <w:rPr>
          <w:rFonts w:ascii="Arial" w:hAnsi="Arial" w:cs="Arial"/>
        </w:rPr>
        <w:t xml:space="preserve"> provide outcome metrics.</w:t>
      </w:r>
      <w:r w:rsidRPr="00465889">
        <w:rPr>
          <w:rFonts w:ascii="Arial" w:hAnsi="Arial" w:cs="Arial"/>
        </w:rPr>
        <w:t xml:space="preserve"> </w:t>
      </w:r>
      <w:r w:rsidR="009D41E4" w:rsidRPr="00465889">
        <w:rPr>
          <w:rFonts w:ascii="Arial" w:hAnsi="Arial" w:cs="Arial"/>
        </w:rPr>
        <w:t xml:space="preserve">Occupational therapists can lead </w:t>
      </w:r>
      <w:r w:rsidR="003D1C30" w:rsidRPr="00465889">
        <w:rPr>
          <w:rFonts w:ascii="Arial" w:hAnsi="Arial" w:cs="Arial"/>
        </w:rPr>
        <w:t>on this work across acute and community settings.</w:t>
      </w:r>
    </w:p>
    <w:p w14:paraId="1B6B8137" w14:textId="38F0CD14" w:rsidR="002F012A" w:rsidRPr="00465889" w:rsidRDefault="00831390" w:rsidP="005D28D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65889">
        <w:rPr>
          <w:rFonts w:ascii="Arial" w:hAnsi="Arial" w:cs="Arial"/>
        </w:rPr>
        <w:t xml:space="preserve">Systems should collect data on </w:t>
      </w:r>
      <w:r w:rsidR="001B1A0E" w:rsidRPr="00465889">
        <w:rPr>
          <w:rFonts w:ascii="Arial" w:hAnsi="Arial" w:cs="Arial"/>
        </w:rPr>
        <w:t>the outcomes of D2A</w:t>
      </w:r>
      <w:r w:rsidR="00C362AC">
        <w:rPr>
          <w:rFonts w:ascii="Arial" w:hAnsi="Arial" w:cs="Arial"/>
        </w:rPr>
        <w:t xml:space="preserve">, </w:t>
      </w:r>
      <w:r w:rsidR="001B1A0E" w:rsidRPr="00465889">
        <w:rPr>
          <w:rFonts w:ascii="Arial" w:hAnsi="Arial" w:cs="Arial"/>
        </w:rPr>
        <w:t>what is going well and what isn’t</w:t>
      </w:r>
      <w:r w:rsidR="00C362AC">
        <w:rPr>
          <w:rFonts w:ascii="Arial" w:hAnsi="Arial" w:cs="Arial"/>
        </w:rPr>
        <w:t xml:space="preserve">, </w:t>
      </w:r>
      <w:r w:rsidR="001B1A0E" w:rsidRPr="00465889">
        <w:rPr>
          <w:rFonts w:ascii="Arial" w:hAnsi="Arial" w:cs="Arial"/>
        </w:rPr>
        <w:t xml:space="preserve">and commissioners should work jointly to ensure </w:t>
      </w:r>
      <w:r w:rsidR="00305E63" w:rsidRPr="00465889">
        <w:rPr>
          <w:rFonts w:ascii="Arial" w:hAnsi="Arial" w:cs="Arial"/>
        </w:rPr>
        <w:t>appropriate capacity within pathways.</w:t>
      </w:r>
    </w:p>
    <w:p w14:paraId="246BB1CF" w14:textId="46021683" w:rsidR="00892296" w:rsidRPr="00465889" w:rsidRDefault="00F009DB" w:rsidP="00305E6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65889">
        <w:rPr>
          <w:rFonts w:ascii="Arial" w:hAnsi="Arial" w:cs="Arial"/>
        </w:rPr>
        <w:t>It can be hard to challenge as a small voice in a big system. But lots of small voices make a choir.</w:t>
      </w:r>
    </w:p>
    <w:p w14:paraId="6F6D8874" w14:textId="0CD1767A" w:rsidR="003A2666" w:rsidRDefault="003A2666" w:rsidP="003A2666">
      <w:pPr>
        <w:spacing w:after="0"/>
        <w:rPr>
          <w:rFonts w:ascii="Arial" w:hAnsi="Arial" w:cs="Arial"/>
          <w:b/>
          <w:bCs/>
        </w:rPr>
      </w:pPr>
    </w:p>
    <w:p w14:paraId="5ABAD380" w14:textId="4C50C3A5" w:rsidR="00481CBD" w:rsidRDefault="00481CBD" w:rsidP="003A2666">
      <w:pPr>
        <w:spacing w:after="0"/>
        <w:rPr>
          <w:rFonts w:ascii="Arial" w:hAnsi="Arial" w:cs="Arial"/>
          <w:b/>
          <w:bCs/>
        </w:rPr>
      </w:pPr>
    </w:p>
    <w:p w14:paraId="516E6B3B" w14:textId="77777777" w:rsidR="00481CBD" w:rsidRDefault="00481CBD" w:rsidP="003A2666">
      <w:pPr>
        <w:spacing w:after="0"/>
        <w:rPr>
          <w:rFonts w:ascii="Arial" w:hAnsi="Arial" w:cs="Arial"/>
          <w:b/>
          <w:bCs/>
        </w:rPr>
      </w:pPr>
    </w:p>
    <w:p w14:paraId="2414672C" w14:textId="11BBDF2D" w:rsidR="00892296" w:rsidRPr="00465889" w:rsidRDefault="00892296" w:rsidP="001F36D9">
      <w:pPr>
        <w:rPr>
          <w:rFonts w:ascii="Arial" w:hAnsi="Arial" w:cs="Arial"/>
          <w:b/>
          <w:bCs/>
        </w:rPr>
      </w:pPr>
      <w:r w:rsidRPr="00465889">
        <w:rPr>
          <w:rFonts w:ascii="Arial" w:hAnsi="Arial" w:cs="Arial"/>
          <w:b/>
          <w:bCs/>
        </w:rPr>
        <w:lastRenderedPageBreak/>
        <w:t>Embracing risk</w:t>
      </w:r>
    </w:p>
    <w:p w14:paraId="0101C420" w14:textId="3D7D63EF" w:rsidR="00892296" w:rsidRPr="00465889" w:rsidRDefault="00A46377" w:rsidP="00357671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 xml:space="preserve">It was noted that </w:t>
      </w:r>
      <w:r w:rsidR="00D50B5E" w:rsidRPr="00465889">
        <w:rPr>
          <w:rFonts w:ascii="Arial" w:hAnsi="Arial" w:cs="Arial"/>
        </w:rPr>
        <w:t xml:space="preserve">therapists, </w:t>
      </w:r>
      <w:r w:rsidR="00C362AC" w:rsidRPr="00465889">
        <w:rPr>
          <w:rFonts w:ascii="Arial" w:hAnsi="Arial" w:cs="Arial"/>
        </w:rPr>
        <w:t>nurses,</w:t>
      </w:r>
      <w:r w:rsidR="00D50B5E" w:rsidRPr="00465889">
        <w:rPr>
          <w:rFonts w:ascii="Arial" w:hAnsi="Arial" w:cs="Arial"/>
        </w:rPr>
        <w:t xml:space="preserve"> and medics in acute settings can</w:t>
      </w:r>
      <w:r w:rsidR="00102E35" w:rsidRPr="00465889">
        <w:rPr>
          <w:rFonts w:ascii="Arial" w:hAnsi="Arial" w:cs="Arial"/>
        </w:rPr>
        <w:t xml:space="preserve"> sometimes</w:t>
      </w:r>
      <w:r w:rsidR="00D50B5E" w:rsidRPr="00465889">
        <w:rPr>
          <w:rFonts w:ascii="Arial" w:hAnsi="Arial" w:cs="Arial"/>
        </w:rPr>
        <w:t xml:space="preserve"> </w:t>
      </w:r>
      <w:r w:rsidR="00390044" w:rsidRPr="00465889">
        <w:rPr>
          <w:rFonts w:ascii="Arial" w:hAnsi="Arial" w:cs="Arial"/>
        </w:rPr>
        <w:t>feel concerned about perceived risks of patients being discharged sooner</w:t>
      </w:r>
      <w:r w:rsidR="00102E35" w:rsidRPr="00465889">
        <w:rPr>
          <w:rFonts w:ascii="Arial" w:hAnsi="Arial" w:cs="Arial"/>
        </w:rPr>
        <w:t>.</w:t>
      </w:r>
    </w:p>
    <w:p w14:paraId="50EC73DC" w14:textId="3B269E99" w:rsidR="001C68B5" w:rsidRPr="00465889" w:rsidRDefault="00C12131" w:rsidP="001C68B5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 xml:space="preserve">The RCOT document </w:t>
      </w:r>
      <w:hyperlink r:id="rId10" w:history="1">
        <w:r w:rsidRPr="00EA1280">
          <w:rPr>
            <w:rStyle w:val="Hyperlink"/>
            <w:rFonts w:ascii="Arial" w:hAnsi="Arial" w:cs="Arial"/>
            <w:i/>
            <w:iCs/>
          </w:rPr>
          <w:t>Embracing risk</w:t>
        </w:r>
        <w:r w:rsidR="00C17299" w:rsidRPr="00EA1280">
          <w:rPr>
            <w:rStyle w:val="Hyperlink"/>
            <w:rFonts w:ascii="Arial" w:hAnsi="Arial" w:cs="Arial"/>
            <w:i/>
            <w:iCs/>
          </w:rPr>
          <w:t>; enabling choice</w:t>
        </w:r>
      </w:hyperlink>
      <w:r w:rsidR="00C17299" w:rsidRPr="00465889">
        <w:rPr>
          <w:rFonts w:ascii="Arial" w:hAnsi="Arial" w:cs="Arial"/>
          <w:i/>
          <w:iCs/>
        </w:rPr>
        <w:t xml:space="preserve"> </w:t>
      </w:r>
      <w:r w:rsidR="00C17299" w:rsidRPr="00465889">
        <w:rPr>
          <w:rFonts w:ascii="Arial" w:hAnsi="Arial" w:cs="Arial"/>
        </w:rPr>
        <w:t>(RCOT, 2017)</w:t>
      </w:r>
      <w:r w:rsidR="00710A35" w:rsidRPr="00465889">
        <w:rPr>
          <w:rFonts w:ascii="Arial" w:hAnsi="Arial" w:cs="Arial"/>
        </w:rPr>
        <w:t xml:space="preserve"> can support conversations and decisions that </w:t>
      </w:r>
      <w:r w:rsidR="00174D4A" w:rsidRPr="00465889">
        <w:rPr>
          <w:rFonts w:ascii="Arial" w:hAnsi="Arial" w:cs="Arial"/>
        </w:rPr>
        <w:t>focus on positive risk taking</w:t>
      </w:r>
      <w:r w:rsidR="00EA1280">
        <w:rPr>
          <w:rFonts w:ascii="Arial" w:hAnsi="Arial" w:cs="Arial"/>
        </w:rPr>
        <w:t>.</w:t>
      </w:r>
    </w:p>
    <w:p w14:paraId="101C6639" w14:textId="7EB350FA" w:rsidR="00F360E0" w:rsidRPr="00465889" w:rsidRDefault="00887057" w:rsidP="00357671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 xml:space="preserve">Ensuring effective and regular communication between acute and community services </w:t>
      </w:r>
      <w:r w:rsidR="00C118F2" w:rsidRPr="00465889">
        <w:rPr>
          <w:rFonts w:ascii="Arial" w:hAnsi="Arial" w:cs="Arial"/>
        </w:rPr>
        <w:t xml:space="preserve">helps to build mutual understanding </w:t>
      </w:r>
      <w:r w:rsidR="00A6002B" w:rsidRPr="00465889">
        <w:rPr>
          <w:rFonts w:ascii="Arial" w:hAnsi="Arial" w:cs="Arial"/>
        </w:rPr>
        <w:t>and trust.</w:t>
      </w:r>
    </w:p>
    <w:p w14:paraId="40369050" w14:textId="40F17842" w:rsidR="00952A50" w:rsidRPr="00465889" w:rsidRDefault="00E92A20" w:rsidP="00357671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 xml:space="preserve">Rotations for junior and senior therapy staff that include community and acute settings </w:t>
      </w:r>
      <w:r w:rsidR="00806315" w:rsidRPr="00465889">
        <w:rPr>
          <w:rFonts w:ascii="Arial" w:hAnsi="Arial" w:cs="Arial"/>
        </w:rPr>
        <w:t xml:space="preserve">helps therapists to gain experience of </w:t>
      </w:r>
      <w:r w:rsidR="009764F7" w:rsidRPr="00465889">
        <w:rPr>
          <w:rFonts w:ascii="Arial" w:hAnsi="Arial" w:cs="Arial"/>
        </w:rPr>
        <w:t>various aspects of D2A pathways.</w:t>
      </w:r>
    </w:p>
    <w:p w14:paraId="0A9F61F5" w14:textId="09830AC3" w:rsidR="00E346FE" w:rsidRPr="00465889" w:rsidRDefault="00E346FE" w:rsidP="00357671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 xml:space="preserve">In-reach of community therapists into acute settings also helps to develop </w:t>
      </w:r>
      <w:r w:rsidR="00816471" w:rsidRPr="00465889">
        <w:rPr>
          <w:rFonts w:ascii="Arial" w:hAnsi="Arial" w:cs="Arial"/>
        </w:rPr>
        <w:t>positive, trusting relationships.</w:t>
      </w:r>
    </w:p>
    <w:p w14:paraId="50E315E0" w14:textId="5F3F88CE" w:rsidR="00A6002B" w:rsidRPr="00465889" w:rsidRDefault="00A6002B" w:rsidP="00357671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>Sharing patient stories</w:t>
      </w:r>
      <w:r w:rsidR="009764F7" w:rsidRPr="00465889">
        <w:rPr>
          <w:rFonts w:ascii="Arial" w:hAnsi="Arial" w:cs="Arial"/>
        </w:rPr>
        <w:t xml:space="preserve"> and case studies </w:t>
      </w:r>
      <w:r w:rsidR="001814DD" w:rsidRPr="00465889">
        <w:rPr>
          <w:rFonts w:ascii="Arial" w:hAnsi="Arial" w:cs="Arial"/>
        </w:rPr>
        <w:t>that highlight the experience of the whole D2A pathway</w:t>
      </w:r>
      <w:r w:rsidRPr="00465889">
        <w:rPr>
          <w:rFonts w:ascii="Arial" w:hAnsi="Arial" w:cs="Arial"/>
        </w:rPr>
        <w:t xml:space="preserve"> helps to support positive risk taking</w:t>
      </w:r>
      <w:r w:rsidR="00952A50" w:rsidRPr="00465889">
        <w:rPr>
          <w:rFonts w:ascii="Arial" w:hAnsi="Arial" w:cs="Arial"/>
        </w:rPr>
        <w:t>.</w:t>
      </w:r>
    </w:p>
    <w:p w14:paraId="237029AB" w14:textId="532BD6D0" w:rsidR="00EC5627" w:rsidRPr="00465889" w:rsidRDefault="00EC5627" w:rsidP="00357671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 xml:space="preserve">One area that has been operating D2A pathways for several </w:t>
      </w:r>
      <w:r w:rsidR="00456B13" w:rsidRPr="00465889">
        <w:rPr>
          <w:rFonts w:ascii="Arial" w:hAnsi="Arial" w:cs="Arial"/>
        </w:rPr>
        <w:t xml:space="preserve">years noted that </w:t>
      </w:r>
      <w:r w:rsidR="0017678F" w:rsidRPr="00465889">
        <w:rPr>
          <w:rFonts w:ascii="Arial" w:hAnsi="Arial" w:cs="Arial"/>
        </w:rPr>
        <w:t xml:space="preserve">readmission rates due to unsuccessful discharges are very low. Within the first six months of operating D2A there were 2 readmissions, with an average of 20 patients discharged on </w:t>
      </w:r>
      <w:r w:rsidR="00C024ED" w:rsidRPr="00465889">
        <w:rPr>
          <w:rFonts w:ascii="Arial" w:hAnsi="Arial" w:cs="Arial"/>
        </w:rPr>
        <w:t>a D2A pathway per month.</w:t>
      </w:r>
    </w:p>
    <w:p w14:paraId="53DCD383" w14:textId="716B3383" w:rsidR="00AD08F8" w:rsidRPr="00465889" w:rsidRDefault="002143A2" w:rsidP="00357671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>One area reported operating a single point of access</w:t>
      </w:r>
      <w:r w:rsidR="00BF4117" w:rsidRPr="00465889">
        <w:rPr>
          <w:rFonts w:ascii="Arial" w:hAnsi="Arial" w:cs="Arial"/>
        </w:rPr>
        <w:t xml:space="preserve"> for people already know to services</w:t>
      </w:r>
      <w:r w:rsidR="00E157FA" w:rsidRPr="00465889">
        <w:rPr>
          <w:rFonts w:ascii="Arial" w:hAnsi="Arial" w:cs="Arial"/>
        </w:rPr>
        <w:t xml:space="preserve"> which they can call if they are deteriorating at home</w:t>
      </w:r>
      <w:r w:rsidR="009E2AB6" w:rsidRPr="00465889">
        <w:rPr>
          <w:rFonts w:ascii="Arial" w:hAnsi="Arial" w:cs="Arial"/>
        </w:rPr>
        <w:t>. This triggers a rapid response aimed at preventing readmission</w:t>
      </w:r>
      <w:r w:rsidR="004206A7" w:rsidRPr="00465889">
        <w:rPr>
          <w:rFonts w:ascii="Arial" w:hAnsi="Arial" w:cs="Arial"/>
        </w:rPr>
        <w:t>.</w:t>
      </w:r>
    </w:p>
    <w:p w14:paraId="4A8DE644" w14:textId="77777777" w:rsidR="003A2666" w:rsidRDefault="003A2666" w:rsidP="001F36D9">
      <w:pPr>
        <w:rPr>
          <w:rFonts w:ascii="Arial" w:hAnsi="Arial" w:cs="Arial"/>
          <w:b/>
          <w:bCs/>
        </w:rPr>
      </w:pPr>
    </w:p>
    <w:p w14:paraId="5D70DD36" w14:textId="53785627" w:rsidR="00892296" w:rsidRPr="00465889" w:rsidRDefault="00892296" w:rsidP="003A2666">
      <w:pPr>
        <w:spacing w:after="0"/>
        <w:rPr>
          <w:rFonts w:ascii="Arial" w:hAnsi="Arial" w:cs="Arial"/>
          <w:b/>
          <w:bCs/>
        </w:rPr>
      </w:pPr>
      <w:r w:rsidRPr="00465889">
        <w:rPr>
          <w:rFonts w:ascii="Arial" w:hAnsi="Arial" w:cs="Arial"/>
          <w:b/>
          <w:bCs/>
        </w:rPr>
        <w:t>Changing cultures</w:t>
      </w:r>
    </w:p>
    <w:p w14:paraId="609A7456" w14:textId="4B35BB93" w:rsidR="00816471" w:rsidRPr="00465889" w:rsidRDefault="0008441E" w:rsidP="00816471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>It was noted that fostering ‘enabling’ cultures in acute wards</w:t>
      </w:r>
      <w:r w:rsidR="00A8421B" w:rsidRPr="00465889">
        <w:rPr>
          <w:rFonts w:ascii="Arial" w:hAnsi="Arial" w:cs="Arial"/>
        </w:rPr>
        <w:t xml:space="preserve">, for therapy, nursing and medical staff is important for shifting cultures </w:t>
      </w:r>
      <w:r w:rsidR="003253E9" w:rsidRPr="00465889">
        <w:rPr>
          <w:rFonts w:ascii="Arial" w:hAnsi="Arial" w:cs="Arial"/>
        </w:rPr>
        <w:t>that are very medically focused.</w:t>
      </w:r>
    </w:p>
    <w:p w14:paraId="6769C201" w14:textId="1F579F3C" w:rsidR="008D1BF5" w:rsidRPr="00465889" w:rsidRDefault="00C06F2A" w:rsidP="00816471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 xml:space="preserve">The </w:t>
      </w:r>
      <w:hyperlink r:id="rId11" w:history="1">
        <w:r w:rsidRPr="00AC78B0">
          <w:rPr>
            <w:rStyle w:val="Hyperlink"/>
            <w:rFonts w:ascii="Arial" w:hAnsi="Arial" w:cs="Arial"/>
          </w:rPr>
          <w:t>Choosing Wisely</w:t>
        </w:r>
      </w:hyperlink>
      <w:r w:rsidRPr="00465889">
        <w:rPr>
          <w:rFonts w:ascii="Arial" w:hAnsi="Arial" w:cs="Arial"/>
        </w:rPr>
        <w:t xml:space="preserve"> initiative was flagged as a useful </w:t>
      </w:r>
      <w:r w:rsidR="00E667EC" w:rsidRPr="00465889">
        <w:rPr>
          <w:rFonts w:ascii="Arial" w:hAnsi="Arial" w:cs="Arial"/>
        </w:rPr>
        <w:t xml:space="preserve">resource, </w:t>
      </w:r>
      <w:r w:rsidR="00136DD5" w:rsidRPr="00465889">
        <w:rPr>
          <w:rFonts w:ascii="Arial" w:hAnsi="Arial" w:cs="Arial"/>
        </w:rPr>
        <w:t xml:space="preserve">developed by the Academy of Medical Royal Colleges, that </w:t>
      </w:r>
      <w:r w:rsidR="006279B4" w:rsidRPr="00465889">
        <w:rPr>
          <w:rFonts w:ascii="Arial" w:hAnsi="Arial" w:cs="Arial"/>
        </w:rPr>
        <w:t>aims to support shared decision making between clinicians and patients</w:t>
      </w:r>
      <w:r w:rsidR="00AC78B0">
        <w:rPr>
          <w:rFonts w:ascii="Arial" w:hAnsi="Arial" w:cs="Arial"/>
        </w:rPr>
        <w:t>.</w:t>
      </w:r>
    </w:p>
    <w:p w14:paraId="49736EFD" w14:textId="2707E900" w:rsidR="006279B4" w:rsidRPr="00465889" w:rsidRDefault="004206A7" w:rsidP="00816471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 xml:space="preserve">Conversations focused on ‘why not home, why not today’ </w:t>
      </w:r>
      <w:r w:rsidR="00084017" w:rsidRPr="00465889">
        <w:rPr>
          <w:rFonts w:ascii="Arial" w:hAnsi="Arial" w:cs="Arial"/>
        </w:rPr>
        <w:t>should begin at the point of admission.</w:t>
      </w:r>
    </w:p>
    <w:p w14:paraId="75825DCB" w14:textId="625ECA63" w:rsidR="003B3700" w:rsidRPr="00465889" w:rsidRDefault="00930279" w:rsidP="00816471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 xml:space="preserve">Effective communication and collaboration with social care and social work colleagues is </w:t>
      </w:r>
      <w:r w:rsidR="00DD2114" w:rsidRPr="00465889">
        <w:rPr>
          <w:rFonts w:ascii="Arial" w:hAnsi="Arial" w:cs="Arial"/>
        </w:rPr>
        <w:t>an essential part of the picture.</w:t>
      </w:r>
    </w:p>
    <w:p w14:paraId="6987170C" w14:textId="2A2E9373" w:rsidR="00D86372" w:rsidRPr="00465889" w:rsidRDefault="00D86372" w:rsidP="00816471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>A mutual understanding of each profession and team’s role w</w:t>
      </w:r>
      <w:r w:rsidR="00C562EA" w:rsidRPr="00465889">
        <w:rPr>
          <w:rFonts w:ascii="Arial" w:hAnsi="Arial" w:cs="Arial"/>
        </w:rPr>
        <w:t>ith patients as part of D2A</w:t>
      </w:r>
      <w:r w:rsidR="00016815" w:rsidRPr="00465889">
        <w:rPr>
          <w:rFonts w:ascii="Arial" w:hAnsi="Arial" w:cs="Arial"/>
        </w:rPr>
        <w:t>, and how this impacts patients’ outcomes, is important.</w:t>
      </w:r>
    </w:p>
    <w:p w14:paraId="40309F60" w14:textId="640B4FA5" w:rsidR="00A67D21" w:rsidRPr="00465889" w:rsidRDefault="00A67D21" w:rsidP="00816471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>Quality improvement tools and principles can help to change culture</w:t>
      </w:r>
      <w:r w:rsidR="00FE0333" w:rsidRPr="00465889">
        <w:rPr>
          <w:rFonts w:ascii="Arial" w:hAnsi="Arial" w:cs="Arial"/>
        </w:rPr>
        <w:t>, behaviours and improve patient experience in a positive, systematic way.</w:t>
      </w:r>
      <w:r w:rsidR="00875EC4" w:rsidRPr="00465889">
        <w:rPr>
          <w:rFonts w:ascii="Arial" w:hAnsi="Arial" w:cs="Arial"/>
        </w:rPr>
        <w:t xml:space="preserve"> </w:t>
      </w:r>
    </w:p>
    <w:p w14:paraId="20FB49EE" w14:textId="291E2995" w:rsidR="00A975D9" w:rsidRPr="00465889" w:rsidRDefault="00342429" w:rsidP="00816471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>Outcomes from q</w:t>
      </w:r>
      <w:r w:rsidR="00A975D9" w:rsidRPr="00465889">
        <w:rPr>
          <w:rFonts w:ascii="Arial" w:hAnsi="Arial" w:cs="Arial"/>
        </w:rPr>
        <w:t xml:space="preserve">uality improvement </w:t>
      </w:r>
      <w:r w:rsidRPr="00465889">
        <w:rPr>
          <w:rFonts w:ascii="Arial" w:hAnsi="Arial" w:cs="Arial"/>
        </w:rPr>
        <w:t xml:space="preserve">projects can also demonstrate </w:t>
      </w:r>
      <w:r w:rsidR="002F0C33" w:rsidRPr="00465889">
        <w:rPr>
          <w:rFonts w:ascii="Arial" w:hAnsi="Arial" w:cs="Arial"/>
        </w:rPr>
        <w:t xml:space="preserve">the value of occupational therapists, as part of a MDT, </w:t>
      </w:r>
      <w:r w:rsidR="00021EF9" w:rsidRPr="00465889">
        <w:rPr>
          <w:rFonts w:ascii="Arial" w:hAnsi="Arial" w:cs="Arial"/>
        </w:rPr>
        <w:t xml:space="preserve">in </w:t>
      </w:r>
      <w:r w:rsidR="007A696E" w:rsidRPr="00465889">
        <w:rPr>
          <w:rFonts w:ascii="Arial" w:hAnsi="Arial" w:cs="Arial"/>
        </w:rPr>
        <w:t>improving efficiency and patient experience</w:t>
      </w:r>
      <w:r w:rsidR="008B2B14" w:rsidRPr="00465889">
        <w:rPr>
          <w:rFonts w:ascii="Arial" w:hAnsi="Arial" w:cs="Arial"/>
        </w:rPr>
        <w:t xml:space="preserve"> through partnership working.</w:t>
      </w:r>
    </w:p>
    <w:p w14:paraId="0C42B094" w14:textId="2679A949" w:rsidR="00E90297" w:rsidRPr="00465889" w:rsidRDefault="00E90297" w:rsidP="00816471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 xml:space="preserve">Shifting away from terminology such as ‘medically fit’ and </w:t>
      </w:r>
      <w:r w:rsidR="0076375C" w:rsidRPr="00465889">
        <w:rPr>
          <w:rFonts w:ascii="Arial" w:hAnsi="Arial" w:cs="Arial"/>
        </w:rPr>
        <w:t xml:space="preserve">embedding the term ‘medically optimised’ </w:t>
      </w:r>
      <w:r w:rsidR="000C772C" w:rsidRPr="00465889">
        <w:rPr>
          <w:rFonts w:ascii="Arial" w:hAnsi="Arial" w:cs="Arial"/>
        </w:rPr>
        <w:t>can help in shifting perspectives</w:t>
      </w:r>
      <w:r w:rsidR="008A4972" w:rsidRPr="00465889">
        <w:rPr>
          <w:rFonts w:ascii="Arial" w:hAnsi="Arial" w:cs="Arial"/>
        </w:rPr>
        <w:t>.</w:t>
      </w:r>
    </w:p>
    <w:p w14:paraId="65E88061" w14:textId="2606DFAB" w:rsidR="00C6650F" w:rsidRPr="00465889" w:rsidRDefault="003B5C7C" w:rsidP="006D0000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465889">
        <w:rPr>
          <w:rFonts w:ascii="Arial" w:hAnsi="Arial" w:cs="Arial"/>
        </w:rPr>
        <w:t xml:space="preserve">For most people, ‘functional optimisation’ happens most effectively at home and should rarely be a reason to keep </w:t>
      </w:r>
      <w:r w:rsidR="003F1AA4" w:rsidRPr="00465889">
        <w:rPr>
          <w:rFonts w:ascii="Arial" w:hAnsi="Arial" w:cs="Arial"/>
        </w:rPr>
        <w:t>someone in an acute hospital bed.</w:t>
      </w:r>
      <w:r w:rsidRPr="00465889">
        <w:rPr>
          <w:rFonts w:ascii="Arial" w:hAnsi="Arial" w:cs="Arial"/>
        </w:rPr>
        <w:t xml:space="preserve"> </w:t>
      </w:r>
    </w:p>
    <w:p w14:paraId="7A806C14" w14:textId="77777777" w:rsidR="00C31B93" w:rsidRPr="00465889" w:rsidRDefault="00C31B93" w:rsidP="003A53FD">
      <w:pPr>
        <w:rPr>
          <w:rFonts w:ascii="Arial" w:hAnsi="Arial" w:cs="Arial"/>
        </w:rPr>
      </w:pPr>
    </w:p>
    <w:p w14:paraId="039DA0C7" w14:textId="625611FC" w:rsidR="004A5ACA" w:rsidRPr="00465889" w:rsidRDefault="004A5ACA" w:rsidP="004A5ACA">
      <w:pPr>
        <w:rPr>
          <w:rFonts w:ascii="Arial" w:hAnsi="Arial" w:cs="Arial"/>
        </w:rPr>
      </w:pPr>
    </w:p>
    <w:sectPr w:rsidR="004A5ACA" w:rsidRPr="0046588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15C02" w14:textId="77777777" w:rsidR="005A6F4E" w:rsidRDefault="005A6F4E" w:rsidP="001506D0">
      <w:pPr>
        <w:spacing w:after="0" w:line="240" w:lineRule="auto"/>
      </w:pPr>
      <w:r>
        <w:separator/>
      </w:r>
    </w:p>
  </w:endnote>
  <w:endnote w:type="continuationSeparator" w:id="0">
    <w:p w14:paraId="35882874" w14:textId="77777777" w:rsidR="005A6F4E" w:rsidRDefault="005A6F4E" w:rsidP="0015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955C1" w14:textId="77777777" w:rsidR="005A6F4E" w:rsidRDefault="005A6F4E" w:rsidP="001506D0">
      <w:pPr>
        <w:spacing w:after="0" w:line="240" w:lineRule="auto"/>
      </w:pPr>
      <w:r>
        <w:separator/>
      </w:r>
    </w:p>
  </w:footnote>
  <w:footnote w:type="continuationSeparator" w:id="0">
    <w:p w14:paraId="1CFA8900" w14:textId="77777777" w:rsidR="005A6F4E" w:rsidRDefault="005A6F4E" w:rsidP="0015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A0C65" w14:textId="637CFCCD" w:rsidR="001506D0" w:rsidRDefault="001506D0" w:rsidP="001506D0">
    <w:pPr>
      <w:pStyle w:val="Header"/>
      <w:jc w:val="right"/>
    </w:pPr>
    <w:r>
      <w:rPr>
        <w:noProof/>
        <w:lang w:eastAsia="en-GB"/>
      </w:rPr>
      <w:drawing>
        <wp:inline distT="0" distB="0" distL="0" distR="0" wp14:anchorId="405501CA" wp14:editId="019D4D20">
          <wp:extent cx="1857375" cy="71167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898" cy="725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FB3610" w14:textId="77777777" w:rsidR="00A460D0" w:rsidRDefault="00A460D0" w:rsidP="001506D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D33"/>
    <w:multiLevelType w:val="hybridMultilevel"/>
    <w:tmpl w:val="319C7F9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CFA7F83"/>
    <w:multiLevelType w:val="hybridMultilevel"/>
    <w:tmpl w:val="3CBE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14244"/>
    <w:multiLevelType w:val="hybridMultilevel"/>
    <w:tmpl w:val="CBD6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D32D9"/>
    <w:multiLevelType w:val="hybridMultilevel"/>
    <w:tmpl w:val="BBE0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62461"/>
    <w:multiLevelType w:val="hybridMultilevel"/>
    <w:tmpl w:val="A0F44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13202"/>
    <w:multiLevelType w:val="hybridMultilevel"/>
    <w:tmpl w:val="676AA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52D33"/>
    <w:multiLevelType w:val="hybridMultilevel"/>
    <w:tmpl w:val="5660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E6473"/>
    <w:multiLevelType w:val="hybridMultilevel"/>
    <w:tmpl w:val="9E687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33429"/>
    <w:multiLevelType w:val="hybridMultilevel"/>
    <w:tmpl w:val="843E9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B35BE"/>
    <w:multiLevelType w:val="hybridMultilevel"/>
    <w:tmpl w:val="1396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B1FA9"/>
    <w:multiLevelType w:val="hybridMultilevel"/>
    <w:tmpl w:val="8DF0B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66F64"/>
    <w:multiLevelType w:val="hybridMultilevel"/>
    <w:tmpl w:val="179C1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E2099"/>
    <w:multiLevelType w:val="hybridMultilevel"/>
    <w:tmpl w:val="6812E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26B90"/>
    <w:multiLevelType w:val="hybridMultilevel"/>
    <w:tmpl w:val="7C3C6A80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7B292A2D"/>
    <w:multiLevelType w:val="hybridMultilevel"/>
    <w:tmpl w:val="911A1A3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EA"/>
    <w:rsid w:val="00002C23"/>
    <w:rsid w:val="00016815"/>
    <w:rsid w:val="00017410"/>
    <w:rsid w:val="00021EF9"/>
    <w:rsid w:val="00022214"/>
    <w:rsid w:val="00034D8F"/>
    <w:rsid w:val="000358D1"/>
    <w:rsid w:val="000407C3"/>
    <w:rsid w:val="00052B71"/>
    <w:rsid w:val="000532DA"/>
    <w:rsid w:val="00081922"/>
    <w:rsid w:val="00081DC9"/>
    <w:rsid w:val="00084017"/>
    <w:rsid w:val="0008441E"/>
    <w:rsid w:val="000A3BC1"/>
    <w:rsid w:val="000C1308"/>
    <w:rsid w:val="000C772C"/>
    <w:rsid w:val="000D3BCD"/>
    <w:rsid w:val="000E3AFF"/>
    <w:rsid w:val="000F0215"/>
    <w:rsid w:val="000F25F2"/>
    <w:rsid w:val="00102E35"/>
    <w:rsid w:val="00111BE9"/>
    <w:rsid w:val="00113968"/>
    <w:rsid w:val="00130A46"/>
    <w:rsid w:val="00136DD5"/>
    <w:rsid w:val="001379E1"/>
    <w:rsid w:val="00144065"/>
    <w:rsid w:val="001506D0"/>
    <w:rsid w:val="00161B3E"/>
    <w:rsid w:val="001734EF"/>
    <w:rsid w:val="00174D4A"/>
    <w:rsid w:val="0017678F"/>
    <w:rsid w:val="001814DD"/>
    <w:rsid w:val="001840D0"/>
    <w:rsid w:val="001B1A0E"/>
    <w:rsid w:val="001B6455"/>
    <w:rsid w:val="001C68B5"/>
    <w:rsid w:val="001E46DA"/>
    <w:rsid w:val="001F36D9"/>
    <w:rsid w:val="001F41BE"/>
    <w:rsid w:val="00206CDB"/>
    <w:rsid w:val="002143A2"/>
    <w:rsid w:val="00220A6E"/>
    <w:rsid w:val="00220C8B"/>
    <w:rsid w:val="002610A5"/>
    <w:rsid w:val="0029040A"/>
    <w:rsid w:val="00295BE2"/>
    <w:rsid w:val="00295E8F"/>
    <w:rsid w:val="00297885"/>
    <w:rsid w:val="002A1AF6"/>
    <w:rsid w:val="002A30DE"/>
    <w:rsid w:val="002A4B63"/>
    <w:rsid w:val="002B5304"/>
    <w:rsid w:val="002C3CE1"/>
    <w:rsid w:val="002E5A98"/>
    <w:rsid w:val="002E6B0E"/>
    <w:rsid w:val="002F012A"/>
    <w:rsid w:val="002F0C33"/>
    <w:rsid w:val="002F3A5A"/>
    <w:rsid w:val="003008CA"/>
    <w:rsid w:val="00301279"/>
    <w:rsid w:val="00305E63"/>
    <w:rsid w:val="00306802"/>
    <w:rsid w:val="003253E9"/>
    <w:rsid w:val="00327E74"/>
    <w:rsid w:val="00342429"/>
    <w:rsid w:val="003462D7"/>
    <w:rsid w:val="003534FE"/>
    <w:rsid w:val="00353AC2"/>
    <w:rsid w:val="003548AD"/>
    <w:rsid w:val="00357671"/>
    <w:rsid w:val="00364044"/>
    <w:rsid w:val="00390044"/>
    <w:rsid w:val="00397467"/>
    <w:rsid w:val="003A2666"/>
    <w:rsid w:val="003A3B81"/>
    <w:rsid w:val="003A53FD"/>
    <w:rsid w:val="003B09BD"/>
    <w:rsid w:val="003B20CA"/>
    <w:rsid w:val="003B28CA"/>
    <w:rsid w:val="003B3700"/>
    <w:rsid w:val="003B58EF"/>
    <w:rsid w:val="003B5C7C"/>
    <w:rsid w:val="003B6AE3"/>
    <w:rsid w:val="003B7511"/>
    <w:rsid w:val="003C127E"/>
    <w:rsid w:val="003D1C30"/>
    <w:rsid w:val="003E22FB"/>
    <w:rsid w:val="003E3545"/>
    <w:rsid w:val="003E6BAA"/>
    <w:rsid w:val="003F191D"/>
    <w:rsid w:val="003F1AA4"/>
    <w:rsid w:val="00404AA8"/>
    <w:rsid w:val="00405860"/>
    <w:rsid w:val="00406CBE"/>
    <w:rsid w:val="004206A7"/>
    <w:rsid w:val="00437784"/>
    <w:rsid w:val="004460F7"/>
    <w:rsid w:val="0044627D"/>
    <w:rsid w:val="004469A3"/>
    <w:rsid w:val="00446FAA"/>
    <w:rsid w:val="00453B6B"/>
    <w:rsid w:val="00456B13"/>
    <w:rsid w:val="00465889"/>
    <w:rsid w:val="00466A0F"/>
    <w:rsid w:val="004730D6"/>
    <w:rsid w:val="00480213"/>
    <w:rsid w:val="00481CBD"/>
    <w:rsid w:val="004835CA"/>
    <w:rsid w:val="00486DED"/>
    <w:rsid w:val="00492846"/>
    <w:rsid w:val="004A1A27"/>
    <w:rsid w:val="004A5ACA"/>
    <w:rsid w:val="004B4531"/>
    <w:rsid w:val="004C19A0"/>
    <w:rsid w:val="004C2B55"/>
    <w:rsid w:val="004C4DD3"/>
    <w:rsid w:val="004E13CC"/>
    <w:rsid w:val="004E4C78"/>
    <w:rsid w:val="004F1A4E"/>
    <w:rsid w:val="00501B38"/>
    <w:rsid w:val="0051737E"/>
    <w:rsid w:val="0055353E"/>
    <w:rsid w:val="0055500B"/>
    <w:rsid w:val="00555357"/>
    <w:rsid w:val="005566C0"/>
    <w:rsid w:val="005569BE"/>
    <w:rsid w:val="00560A40"/>
    <w:rsid w:val="00562348"/>
    <w:rsid w:val="00563D79"/>
    <w:rsid w:val="00566B47"/>
    <w:rsid w:val="005744C6"/>
    <w:rsid w:val="005758E0"/>
    <w:rsid w:val="005972C4"/>
    <w:rsid w:val="005A0A4F"/>
    <w:rsid w:val="005A408D"/>
    <w:rsid w:val="005A6AC5"/>
    <w:rsid w:val="005A6F4E"/>
    <w:rsid w:val="005B1B29"/>
    <w:rsid w:val="005D28D2"/>
    <w:rsid w:val="005E5F2E"/>
    <w:rsid w:val="005F5BF1"/>
    <w:rsid w:val="00600AAE"/>
    <w:rsid w:val="006158CC"/>
    <w:rsid w:val="00621313"/>
    <w:rsid w:val="006279B4"/>
    <w:rsid w:val="00627B66"/>
    <w:rsid w:val="00630234"/>
    <w:rsid w:val="00644500"/>
    <w:rsid w:val="00674265"/>
    <w:rsid w:val="00674DAE"/>
    <w:rsid w:val="006A39E6"/>
    <w:rsid w:val="006A52D2"/>
    <w:rsid w:val="006B7106"/>
    <w:rsid w:val="006D0000"/>
    <w:rsid w:val="006F6E8B"/>
    <w:rsid w:val="00700C4F"/>
    <w:rsid w:val="00700D07"/>
    <w:rsid w:val="00702AE8"/>
    <w:rsid w:val="0070560E"/>
    <w:rsid w:val="00710A35"/>
    <w:rsid w:val="00734FCC"/>
    <w:rsid w:val="00745AF3"/>
    <w:rsid w:val="00752064"/>
    <w:rsid w:val="007567BD"/>
    <w:rsid w:val="0076375C"/>
    <w:rsid w:val="00777163"/>
    <w:rsid w:val="00785256"/>
    <w:rsid w:val="00793638"/>
    <w:rsid w:val="007A35BE"/>
    <w:rsid w:val="007A696E"/>
    <w:rsid w:val="007C1400"/>
    <w:rsid w:val="007C175C"/>
    <w:rsid w:val="007C31CC"/>
    <w:rsid w:val="007C3759"/>
    <w:rsid w:val="007D2333"/>
    <w:rsid w:val="007D3AFB"/>
    <w:rsid w:val="007F762B"/>
    <w:rsid w:val="00803AC1"/>
    <w:rsid w:val="00806315"/>
    <w:rsid w:val="00816471"/>
    <w:rsid w:val="008309D1"/>
    <w:rsid w:val="00831390"/>
    <w:rsid w:val="008319F1"/>
    <w:rsid w:val="00833F75"/>
    <w:rsid w:val="0084424F"/>
    <w:rsid w:val="00854E70"/>
    <w:rsid w:val="00860AE5"/>
    <w:rsid w:val="00872CE3"/>
    <w:rsid w:val="00875EC4"/>
    <w:rsid w:val="00887057"/>
    <w:rsid w:val="008873EE"/>
    <w:rsid w:val="00892296"/>
    <w:rsid w:val="008A4972"/>
    <w:rsid w:val="008A4DF2"/>
    <w:rsid w:val="008B01E8"/>
    <w:rsid w:val="008B2B14"/>
    <w:rsid w:val="008B6AF7"/>
    <w:rsid w:val="008D1BF5"/>
    <w:rsid w:val="008D3B05"/>
    <w:rsid w:val="008D6A5C"/>
    <w:rsid w:val="008D7BBB"/>
    <w:rsid w:val="008E326E"/>
    <w:rsid w:val="008E6CDA"/>
    <w:rsid w:val="00901596"/>
    <w:rsid w:val="00902DAA"/>
    <w:rsid w:val="00930279"/>
    <w:rsid w:val="00933334"/>
    <w:rsid w:val="00937ADC"/>
    <w:rsid w:val="009403D7"/>
    <w:rsid w:val="00941FFE"/>
    <w:rsid w:val="00942F61"/>
    <w:rsid w:val="00952A50"/>
    <w:rsid w:val="009560BE"/>
    <w:rsid w:val="00956E1B"/>
    <w:rsid w:val="0097447C"/>
    <w:rsid w:val="009764F7"/>
    <w:rsid w:val="00977819"/>
    <w:rsid w:val="00987CFB"/>
    <w:rsid w:val="009B4EE1"/>
    <w:rsid w:val="009D2E12"/>
    <w:rsid w:val="009D41E4"/>
    <w:rsid w:val="009D6C11"/>
    <w:rsid w:val="009D7E3C"/>
    <w:rsid w:val="009E2AB6"/>
    <w:rsid w:val="009E2BD8"/>
    <w:rsid w:val="009E349C"/>
    <w:rsid w:val="009F15D0"/>
    <w:rsid w:val="00A33A70"/>
    <w:rsid w:val="00A460D0"/>
    <w:rsid w:val="00A46377"/>
    <w:rsid w:val="00A528BB"/>
    <w:rsid w:val="00A6002B"/>
    <w:rsid w:val="00A647A0"/>
    <w:rsid w:val="00A677D0"/>
    <w:rsid w:val="00A67D21"/>
    <w:rsid w:val="00A81335"/>
    <w:rsid w:val="00A8421B"/>
    <w:rsid w:val="00A928F8"/>
    <w:rsid w:val="00A975D9"/>
    <w:rsid w:val="00AA247B"/>
    <w:rsid w:val="00AA596A"/>
    <w:rsid w:val="00AB2364"/>
    <w:rsid w:val="00AB415D"/>
    <w:rsid w:val="00AB52BC"/>
    <w:rsid w:val="00AC3B15"/>
    <w:rsid w:val="00AC4D74"/>
    <w:rsid w:val="00AC78B0"/>
    <w:rsid w:val="00AD08F8"/>
    <w:rsid w:val="00AD2361"/>
    <w:rsid w:val="00AD4FEE"/>
    <w:rsid w:val="00AE5B7C"/>
    <w:rsid w:val="00AE7627"/>
    <w:rsid w:val="00AF1F7E"/>
    <w:rsid w:val="00B000C4"/>
    <w:rsid w:val="00B039A1"/>
    <w:rsid w:val="00B074CE"/>
    <w:rsid w:val="00B10B82"/>
    <w:rsid w:val="00B201C5"/>
    <w:rsid w:val="00B24017"/>
    <w:rsid w:val="00B26F6B"/>
    <w:rsid w:val="00B35211"/>
    <w:rsid w:val="00B724C1"/>
    <w:rsid w:val="00B72DCF"/>
    <w:rsid w:val="00B73345"/>
    <w:rsid w:val="00B8461D"/>
    <w:rsid w:val="00B96C4A"/>
    <w:rsid w:val="00BB4AF3"/>
    <w:rsid w:val="00BC1473"/>
    <w:rsid w:val="00BC2BD4"/>
    <w:rsid w:val="00BE43D2"/>
    <w:rsid w:val="00BF0CC0"/>
    <w:rsid w:val="00BF4117"/>
    <w:rsid w:val="00BF65F7"/>
    <w:rsid w:val="00C024ED"/>
    <w:rsid w:val="00C02C68"/>
    <w:rsid w:val="00C06F2A"/>
    <w:rsid w:val="00C118F2"/>
    <w:rsid w:val="00C12131"/>
    <w:rsid w:val="00C17299"/>
    <w:rsid w:val="00C17DA7"/>
    <w:rsid w:val="00C27871"/>
    <w:rsid w:val="00C31B93"/>
    <w:rsid w:val="00C362AC"/>
    <w:rsid w:val="00C562EA"/>
    <w:rsid w:val="00C6650F"/>
    <w:rsid w:val="00C67864"/>
    <w:rsid w:val="00C67E41"/>
    <w:rsid w:val="00C71744"/>
    <w:rsid w:val="00C71AA0"/>
    <w:rsid w:val="00C73DA8"/>
    <w:rsid w:val="00C855B3"/>
    <w:rsid w:val="00C90A62"/>
    <w:rsid w:val="00C91D80"/>
    <w:rsid w:val="00CA0535"/>
    <w:rsid w:val="00CC38BE"/>
    <w:rsid w:val="00CD06FF"/>
    <w:rsid w:val="00CE0260"/>
    <w:rsid w:val="00CF5F6C"/>
    <w:rsid w:val="00CF6D81"/>
    <w:rsid w:val="00D26782"/>
    <w:rsid w:val="00D35310"/>
    <w:rsid w:val="00D36C26"/>
    <w:rsid w:val="00D50B5E"/>
    <w:rsid w:val="00D547EF"/>
    <w:rsid w:val="00D550E9"/>
    <w:rsid w:val="00D661D6"/>
    <w:rsid w:val="00D74130"/>
    <w:rsid w:val="00D832E5"/>
    <w:rsid w:val="00D839BC"/>
    <w:rsid w:val="00D86372"/>
    <w:rsid w:val="00D92807"/>
    <w:rsid w:val="00D95CEA"/>
    <w:rsid w:val="00D969D5"/>
    <w:rsid w:val="00DD0F90"/>
    <w:rsid w:val="00DD2114"/>
    <w:rsid w:val="00DD71ED"/>
    <w:rsid w:val="00DE7B7E"/>
    <w:rsid w:val="00DF0C53"/>
    <w:rsid w:val="00DF5E01"/>
    <w:rsid w:val="00E03260"/>
    <w:rsid w:val="00E0457C"/>
    <w:rsid w:val="00E1206D"/>
    <w:rsid w:val="00E157FA"/>
    <w:rsid w:val="00E17D45"/>
    <w:rsid w:val="00E17F9F"/>
    <w:rsid w:val="00E2044F"/>
    <w:rsid w:val="00E21C57"/>
    <w:rsid w:val="00E25926"/>
    <w:rsid w:val="00E346FE"/>
    <w:rsid w:val="00E34A0E"/>
    <w:rsid w:val="00E43EF9"/>
    <w:rsid w:val="00E44600"/>
    <w:rsid w:val="00E465CF"/>
    <w:rsid w:val="00E54603"/>
    <w:rsid w:val="00E64B32"/>
    <w:rsid w:val="00E667EC"/>
    <w:rsid w:val="00E733BF"/>
    <w:rsid w:val="00E8177E"/>
    <w:rsid w:val="00E83085"/>
    <w:rsid w:val="00E860F0"/>
    <w:rsid w:val="00E90297"/>
    <w:rsid w:val="00E92A20"/>
    <w:rsid w:val="00E9747F"/>
    <w:rsid w:val="00EA1280"/>
    <w:rsid w:val="00EA391C"/>
    <w:rsid w:val="00EB0331"/>
    <w:rsid w:val="00EC5627"/>
    <w:rsid w:val="00EC69AB"/>
    <w:rsid w:val="00EF0F0A"/>
    <w:rsid w:val="00F009DB"/>
    <w:rsid w:val="00F06F88"/>
    <w:rsid w:val="00F13E08"/>
    <w:rsid w:val="00F360E0"/>
    <w:rsid w:val="00F46700"/>
    <w:rsid w:val="00F50B40"/>
    <w:rsid w:val="00F67220"/>
    <w:rsid w:val="00F7068F"/>
    <w:rsid w:val="00F84323"/>
    <w:rsid w:val="00F9329F"/>
    <w:rsid w:val="00F9562D"/>
    <w:rsid w:val="00FA4193"/>
    <w:rsid w:val="00FC12BE"/>
    <w:rsid w:val="00FC50EA"/>
    <w:rsid w:val="00FC6EB5"/>
    <w:rsid w:val="00FE00A5"/>
    <w:rsid w:val="00FE0333"/>
    <w:rsid w:val="00FE0651"/>
    <w:rsid w:val="00FE18FC"/>
    <w:rsid w:val="00FE7110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A84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8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8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0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6D0"/>
  </w:style>
  <w:style w:type="paragraph" w:styleId="Footer">
    <w:name w:val="footer"/>
    <w:basedOn w:val="Normal"/>
    <w:link w:val="FooterChar"/>
    <w:uiPriority w:val="99"/>
    <w:unhideWhenUsed/>
    <w:rsid w:val="00150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6D0"/>
  </w:style>
  <w:style w:type="paragraph" w:styleId="BalloonText">
    <w:name w:val="Balloon Text"/>
    <w:basedOn w:val="Normal"/>
    <w:link w:val="BalloonTextChar"/>
    <w:uiPriority w:val="99"/>
    <w:semiHidden/>
    <w:unhideWhenUsed/>
    <w:rsid w:val="00BE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8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8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0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6D0"/>
  </w:style>
  <w:style w:type="paragraph" w:styleId="Footer">
    <w:name w:val="footer"/>
    <w:basedOn w:val="Normal"/>
    <w:link w:val="FooterChar"/>
    <w:uiPriority w:val="99"/>
    <w:unhideWhenUsed/>
    <w:rsid w:val="00150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6D0"/>
  </w:style>
  <w:style w:type="paragraph" w:styleId="BalloonText">
    <w:name w:val="Balloon Text"/>
    <w:basedOn w:val="Normal"/>
    <w:link w:val="BalloonTextChar"/>
    <w:uiPriority w:val="99"/>
    <w:semiHidden/>
    <w:unhideWhenUsed/>
    <w:rsid w:val="00BE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t.co.uk/about-occupational-therapy/rcot-informed-view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hoosingwisely.co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cot.co.uk/practice-resources/rcot-publications/downloads/embracing-ri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.walker@rcot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1878</Words>
  <Characters>10709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Walker</dc:creator>
  <cp:lastModifiedBy>Anne Keen</cp:lastModifiedBy>
  <cp:revision>2</cp:revision>
  <dcterms:created xsi:type="dcterms:W3CDTF">2021-01-15T15:44:00Z</dcterms:created>
  <dcterms:modified xsi:type="dcterms:W3CDTF">2021-01-15T15:44:00Z</dcterms:modified>
</cp:coreProperties>
</file>